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color w:val="auto"/>
          <w:sz w:val="24"/>
          <w:szCs w:val="24"/>
        </w:rPr>
        <w:id w:val="-191923907"/>
        <w:docPartObj>
          <w:docPartGallery w:val="Cover Pages"/>
          <w:docPartUnique/>
        </w:docPartObj>
      </w:sdtPr>
      <w:sdtEndPr/>
      <w:sdtContent>
        <w:p w14:paraId="209D86A8" w14:textId="77777777" w:rsidR="004073BC" w:rsidRDefault="00F72274" w:rsidP="00587EA6">
          <w:pPr>
            <w:pStyle w:val="Heading1"/>
          </w:pPr>
          <w:r>
            <w:rPr>
              <w:noProof/>
            </w:rPr>
            <w:drawing>
              <wp:anchor distT="0" distB="0" distL="114300" distR="114300" simplePos="0" relativeHeight="251658241" behindDoc="1" locked="0" layoutInCell="1" allowOverlap="1" wp14:anchorId="4AB27C35" wp14:editId="5099EF6C">
                <wp:simplePos x="0" y="0"/>
                <wp:positionH relativeFrom="column">
                  <wp:posOffset>-551815</wp:posOffset>
                </wp:positionH>
                <wp:positionV relativeFrom="paragraph">
                  <wp:posOffset>-677313</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78A037AE" wp14:editId="3584FF21">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56438F2E" w14:textId="77777777" w:rsidR="004073BC" w:rsidRDefault="004073BC" w:rsidP="008C1A73"/>
        <w:p w14:paraId="78D8C1BB" w14:textId="13C0315F" w:rsidR="004073BC" w:rsidRPr="00637D5E" w:rsidRDefault="00826984" w:rsidP="008C1A73">
          <w:pPr>
            <w:rPr>
              <w:b/>
              <w:bCs/>
              <w:color w:val="FFFFFF" w:themeColor="background1"/>
              <w:sz w:val="48"/>
              <w:szCs w:val="48"/>
            </w:rPr>
          </w:pPr>
          <w:r w:rsidRPr="00637D5E">
            <w:rPr>
              <w:b/>
              <w:bCs/>
              <w:color w:val="FFFFFF" w:themeColor="background1"/>
              <w:sz w:val="48"/>
              <w:szCs w:val="48"/>
            </w:rPr>
            <w:t>WAT-G-004</w:t>
          </w:r>
        </w:p>
        <w:p w14:paraId="2E8D23F6" w14:textId="77777777" w:rsidR="004073BC" w:rsidRDefault="004073BC" w:rsidP="008C1A73"/>
        <w:p w14:paraId="66D092E5" w14:textId="248C5DAF" w:rsidR="008C1A73" w:rsidRPr="00CF7EFB" w:rsidRDefault="00281BB1" w:rsidP="00533B89">
          <w:pPr>
            <w:spacing w:line="240" w:lineRule="auto"/>
            <w:rPr>
              <w:b/>
              <w:bCs/>
              <w:color w:val="FFFFFF" w:themeColor="background1"/>
              <w:sz w:val="84"/>
              <w:szCs w:val="84"/>
            </w:rPr>
          </w:pPr>
          <w:r w:rsidRPr="005F4958">
            <w:rPr>
              <w:noProof/>
              <w:sz w:val="72"/>
              <w:szCs w:val="72"/>
            </w:rPr>
            <mc:AlternateContent>
              <mc:Choice Requires="wps">
                <w:drawing>
                  <wp:anchor distT="0" distB="0" distL="114300" distR="114300" simplePos="0" relativeHeight="251658240" behindDoc="0" locked="1" layoutInCell="1" allowOverlap="1" wp14:anchorId="4A3C64A3" wp14:editId="5743CB67">
                    <wp:simplePos x="0" y="0"/>
                    <wp:positionH relativeFrom="column">
                      <wp:posOffset>54610</wp:posOffset>
                    </wp:positionH>
                    <wp:positionV relativeFrom="paragraph">
                      <wp:posOffset>7456170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74D1562D" w14:textId="6502C27B" w:rsidR="00281BB1" w:rsidRPr="009A240D" w:rsidRDefault="005F4958" w:rsidP="00281BB1">
                                <w:pPr>
                                  <w:pStyle w:val="BodyText1"/>
                                  <w:rPr>
                                    <w:color w:val="FFFFFF" w:themeColor="background1"/>
                                  </w:rPr>
                                </w:pPr>
                                <w:r>
                                  <w:rPr>
                                    <w:color w:val="FFFFFF" w:themeColor="background1"/>
                                  </w:rPr>
                                  <w:t>Version 1.0. August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3C64A3" id="_x0000_t202" coordsize="21600,21600" o:spt="202" path="m,l,21600r21600,l21600,xe">
                    <v:stroke joinstyle="miter"/>
                    <v:path gradientshapeok="t" o:connecttype="rect"/>
                  </v:shapetype>
                  <v:shape id="Text Box 3" o:spid="_x0000_s1026" type="#_x0000_t202" alt="&quot;&quot;" style="position:absolute;margin-left:4.3pt;margin-top:587.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" filled="f" stroked="f" strokeweight=".5pt">
                    <v:textbox inset="0,0,0,0">
                      <w:txbxContent>
                        <w:p w14:paraId="74D1562D" w14:textId="6502C27B" w:rsidR="00281BB1" w:rsidRPr="009A240D" w:rsidRDefault="005F4958" w:rsidP="00281BB1">
                          <w:pPr>
                            <w:pStyle w:val="BodyText1"/>
                            <w:rPr>
                              <w:color w:val="FFFFFF" w:themeColor="background1"/>
                            </w:rPr>
                          </w:pPr>
                          <w:r>
                            <w:rPr>
                              <w:color w:val="FFFFFF" w:themeColor="background1"/>
                            </w:rPr>
                            <w:t>Version 1.0. August 2025</w:t>
                          </w:r>
                        </w:p>
                      </w:txbxContent>
                    </v:textbox>
                    <w10:anchorlock/>
                  </v:shape>
                </w:pict>
              </mc:Fallback>
            </mc:AlternateContent>
          </w:r>
          <w:r w:rsidR="005F4958" w:rsidRPr="005F4958">
            <w:rPr>
              <w:b/>
              <w:bCs/>
              <w:color w:val="FFFFFF" w:themeColor="background1"/>
              <w:sz w:val="72"/>
              <w:szCs w:val="72"/>
            </w:rPr>
            <w:t>EASR Guidance</w:t>
          </w:r>
          <w:r w:rsidR="00E548B5">
            <w:rPr>
              <w:b/>
              <w:bCs/>
              <w:color w:val="FFFFFF" w:themeColor="background1"/>
              <w:sz w:val="72"/>
              <w:szCs w:val="72"/>
            </w:rPr>
            <w:t>:</w:t>
          </w:r>
          <w:r w:rsidR="005F4958" w:rsidRPr="005F4958">
            <w:rPr>
              <w:b/>
              <w:bCs/>
              <w:color w:val="FFFFFF" w:themeColor="background1"/>
              <w:sz w:val="72"/>
              <w:szCs w:val="72"/>
            </w:rPr>
            <w:t xml:space="preserve"> Registration Activity: </w:t>
          </w:r>
          <w:r w:rsidR="00F527AB" w:rsidRPr="00F527AB">
            <w:rPr>
              <w:b/>
              <w:bCs/>
              <w:color w:val="FFFFFF" w:themeColor="background1"/>
              <w:sz w:val="72"/>
              <w:szCs w:val="72"/>
            </w:rPr>
            <w:t xml:space="preserve">Abstraction </w:t>
          </w:r>
          <w:r w:rsidR="006F69C4">
            <w:rPr>
              <w:b/>
              <w:bCs/>
              <w:color w:val="FFFFFF" w:themeColor="background1"/>
              <w:sz w:val="72"/>
              <w:szCs w:val="72"/>
            </w:rPr>
            <w:t>of</w:t>
          </w:r>
          <w:r w:rsidR="00F527AB" w:rsidRPr="00F527AB">
            <w:rPr>
              <w:b/>
              <w:bCs/>
              <w:color w:val="FFFFFF" w:themeColor="background1"/>
              <w:sz w:val="72"/>
              <w:szCs w:val="72"/>
            </w:rPr>
            <w:t xml:space="preserve"> seawater or </w:t>
          </w:r>
          <w:r w:rsidR="00283CBB">
            <w:rPr>
              <w:b/>
              <w:bCs/>
              <w:color w:val="FFFFFF" w:themeColor="background1"/>
              <w:sz w:val="72"/>
              <w:szCs w:val="72"/>
            </w:rPr>
            <w:t>groundwater</w:t>
          </w:r>
          <w:r w:rsidR="00F527AB" w:rsidRPr="00F527AB">
            <w:rPr>
              <w:b/>
              <w:bCs/>
              <w:color w:val="FFFFFF" w:themeColor="background1"/>
              <w:sz w:val="72"/>
              <w:szCs w:val="72"/>
            </w:rPr>
            <w:t xml:space="preserve"> under the seabed</w:t>
          </w:r>
          <w:r w:rsidR="008C1A73">
            <w:br w:type="page"/>
          </w:r>
        </w:p>
      </w:sdtContent>
    </w:sdt>
    <w:p w14:paraId="306E93D3" w14:textId="77777777" w:rsidR="003E319E" w:rsidRDefault="003E319E" w:rsidP="004D5FB9">
      <w:pPr>
        <w:pStyle w:val="BodyText1"/>
        <w:rPr>
          <w:rFonts w:eastAsia="Times New Roman"/>
          <w:sz w:val="32"/>
          <w:szCs w:val="32"/>
        </w:rPr>
      </w:pPr>
    </w:p>
    <w:p w14:paraId="67845811" w14:textId="77777777" w:rsidR="003E319E" w:rsidRDefault="003E319E" w:rsidP="004D5FB9">
      <w:pPr>
        <w:pStyle w:val="BodyText1"/>
        <w:rPr>
          <w:rFonts w:eastAsia="Times New Roman"/>
          <w:sz w:val="32"/>
          <w:szCs w:val="32"/>
        </w:rPr>
      </w:pPr>
    </w:p>
    <w:p w14:paraId="61F19457" w14:textId="77777777" w:rsidR="003E319E" w:rsidRDefault="003E319E" w:rsidP="004D5FB9">
      <w:pPr>
        <w:pStyle w:val="BodyText1"/>
        <w:rPr>
          <w:rFonts w:eastAsia="Times New Roman"/>
          <w:sz w:val="32"/>
          <w:szCs w:val="32"/>
        </w:rPr>
      </w:pPr>
    </w:p>
    <w:p w14:paraId="7B0870FA" w14:textId="77777777" w:rsidR="003E319E" w:rsidRDefault="003E319E" w:rsidP="004D5FB9">
      <w:pPr>
        <w:pStyle w:val="BodyText1"/>
        <w:rPr>
          <w:rFonts w:eastAsia="Times New Roman"/>
          <w:sz w:val="32"/>
          <w:szCs w:val="32"/>
        </w:rPr>
      </w:pPr>
    </w:p>
    <w:p w14:paraId="5B6BC4CF" w14:textId="77777777" w:rsidR="003E319E" w:rsidRDefault="003E319E" w:rsidP="004D5FB9">
      <w:pPr>
        <w:pStyle w:val="BodyText1"/>
        <w:rPr>
          <w:rFonts w:eastAsia="Times New Roman"/>
          <w:sz w:val="32"/>
          <w:szCs w:val="32"/>
        </w:rPr>
      </w:pPr>
    </w:p>
    <w:p w14:paraId="1238037C" w14:textId="77777777" w:rsidR="003E319E" w:rsidRDefault="003E319E" w:rsidP="004D5FB9">
      <w:pPr>
        <w:pStyle w:val="BodyText1"/>
        <w:rPr>
          <w:rFonts w:eastAsia="Times New Roman"/>
          <w:sz w:val="32"/>
          <w:szCs w:val="32"/>
        </w:rPr>
      </w:pPr>
    </w:p>
    <w:p w14:paraId="035BDB72" w14:textId="77777777" w:rsidR="003E319E" w:rsidRDefault="003E319E" w:rsidP="004D5FB9">
      <w:pPr>
        <w:pStyle w:val="BodyText1"/>
        <w:rPr>
          <w:rFonts w:eastAsia="Times New Roman"/>
          <w:sz w:val="32"/>
          <w:szCs w:val="32"/>
        </w:rPr>
      </w:pPr>
    </w:p>
    <w:p w14:paraId="38A70133" w14:textId="77777777" w:rsidR="003E319E" w:rsidRDefault="003E319E" w:rsidP="004D5FB9">
      <w:pPr>
        <w:pStyle w:val="BodyText1"/>
        <w:rPr>
          <w:rFonts w:eastAsia="Times New Roman"/>
          <w:sz w:val="32"/>
          <w:szCs w:val="32"/>
        </w:rPr>
      </w:pPr>
    </w:p>
    <w:p w14:paraId="026273B8" w14:textId="77777777" w:rsidR="003E319E" w:rsidRDefault="003E319E" w:rsidP="004D5FB9">
      <w:pPr>
        <w:pStyle w:val="BodyText1"/>
        <w:rPr>
          <w:rFonts w:eastAsia="Times New Roman"/>
          <w:sz w:val="32"/>
          <w:szCs w:val="32"/>
        </w:rPr>
      </w:pPr>
    </w:p>
    <w:p w14:paraId="50B3390C" w14:textId="77777777" w:rsidR="003E319E" w:rsidRDefault="003E319E" w:rsidP="004D5FB9">
      <w:pPr>
        <w:pStyle w:val="BodyText1"/>
        <w:rPr>
          <w:rFonts w:eastAsia="Times New Roman"/>
          <w:sz w:val="32"/>
          <w:szCs w:val="32"/>
        </w:rPr>
      </w:pPr>
    </w:p>
    <w:p w14:paraId="4FC6717C" w14:textId="77777777" w:rsidR="003E319E" w:rsidRDefault="003E319E" w:rsidP="004D5FB9">
      <w:pPr>
        <w:pStyle w:val="BodyText1"/>
        <w:rPr>
          <w:rFonts w:eastAsia="Times New Roman"/>
          <w:sz w:val="32"/>
          <w:szCs w:val="32"/>
        </w:rPr>
      </w:pPr>
    </w:p>
    <w:p w14:paraId="14461856" w14:textId="77777777" w:rsidR="003E319E" w:rsidRDefault="003E319E" w:rsidP="004D5FB9">
      <w:pPr>
        <w:pStyle w:val="BodyText1"/>
        <w:rPr>
          <w:rFonts w:eastAsia="Times New Roman"/>
          <w:sz w:val="32"/>
          <w:szCs w:val="32"/>
        </w:rPr>
      </w:pPr>
    </w:p>
    <w:p w14:paraId="5481031B" w14:textId="77777777" w:rsidR="003E319E" w:rsidRDefault="003E319E" w:rsidP="004D5FB9">
      <w:pPr>
        <w:pStyle w:val="BodyText1"/>
        <w:rPr>
          <w:rFonts w:eastAsia="Times New Roman"/>
          <w:sz w:val="32"/>
          <w:szCs w:val="32"/>
        </w:rPr>
      </w:pPr>
    </w:p>
    <w:p w14:paraId="4AEB39E5" w14:textId="77777777" w:rsidR="003E319E" w:rsidRDefault="003E319E" w:rsidP="004D5FB9">
      <w:pPr>
        <w:pStyle w:val="BodyText1"/>
        <w:rPr>
          <w:rFonts w:eastAsia="Times New Roman"/>
          <w:sz w:val="32"/>
          <w:szCs w:val="32"/>
        </w:rPr>
      </w:pPr>
    </w:p>
    <w:p w14:paraId="22718473" w14:textId="1E42FDDD" w:rsidR="004D5FB9" w:rsidRPr="003E319E" w:rsidRDefault="004D5FB9" w:rsidP="003E319E">
      <w:pPr>
        <w:pStyle w:val="BodyText1"/>
        <w:rPr>
          <w:rFonts w:eastAsia="Times New Roman"/>
          <w:sz w:val="32"/>
          <w:szCs w:val="32"/>
        </w:rPr>
      </w:pPr>
      <w:r w:rsidRPr="005F4958">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5F4958">
          <w:rPr>
            <w:rFonts w:eastAsia="Times New Roman"/>
            <w:color w:val="016574" w:themeColor="hyperlink"/>
            <w:sz w:val="32"/>
            <w:szCs w:val="32"/>
            <w:u w:val="single"/>
          </w:rPr>
          <w:t>equalities@sepa.org.uk</w:t>
        </w:r>
      </w:hyperlink>
    </w:p>
    <w:p w14:paraId="00BE891E" w14:textId="6317C871" w:rsidR="005F4958" w:rsidRPr="005F4958" w:rsidRDefault="005F4958" w:rsidP="005F4958">
      <w:pPr>
        <w:pStyle w:val="Heading1"/>
      </w:pPr>
      <w:r w:rsidRPr="0050218D">
        <w:lastRenderedPageBreak/>
        <w:t>Purpose</w:t>
      </w:r>
    </w:p>
    <w:p w14:paraId="289EF1D5" w14:textId="289E1223" w:rsidR="005F4958" w:rsidRDefault="005F4958" w:rsidP="005F4958">
      <w:pPr>
        <w:pStyle w:val="BodyText1"/>
        <w:rPr>
          <w:rFonts w:eastAsia="Arial"/>
          <w:lang w:val="en-US"/>
        </w:rPr>
      </w:pPr>
      <w:r w:rsidRPr="35EE11A0">
        <w:rPr>
          <w:rFonts w:eastAsia="Arial"/>
          <w:lang w:val="en-US"/>
        </w:rPr>
        <w:t>This document provides information and guidance for anyone undertaking</w:t>
      </w:r>
      <w:r>
        <w:rPr>
          <w:rFonts w:eastAsia="Arial"/>
          <w:lang w:val="en-US"/>
        </w:rPr>
        <w:t xml:space="preserve"> the abstraction of water from coastal or transitional waters or groundwater below the bed of coastal and transitional waters </w:t>
      </w:r>
      <w:r w:rsidRPr="35EE11A0">
        <w:rPr>
          <w:rFonts w:eastAsia="Arial"/>
          <w:lang w:val="en-US"/>
        </w:rPr>
        <w:t>which requires an authorisation under The Environmental Authorisations (Scotland) Regulations.</w:t>
      </w:r>
    </w:p>
    <w:p w14:paraId="5D995A97" w14:textId="0DC08D04" w:rsidR="00637D5E" w:rsidRDefault="00637D5E" w:rsidP="005F4958">
      <w:pPr>
        <w:pStyle w:val="BodyText1"/>
        <w:rPr>
          <w:rFonts w:eastAsia="Arial"/>
        </w:rPr>
      </w:pPr>
      <w:r>
        <w:rPr>
          <w:rFonts w:eastAsia="Arial"/>
          <w:lang w:val="en-US"/>
        </w:rPr>
        <w:t xml:space="preserve">This guidance does not cover any other permissions that may be required.  </w:t>
      </w:r>
    </w:p>
    <w:p w14:paraId="278C16D8" w14:textId="77777777" w:rsidR="005F4958" w:rsidRPr="00A22F04" w:rsidRDefault="005F4958" w:rsidP="005F4958">
      <w:pPr>
        <w:pStyle w:val="Heading1"/>
      </w:pPr>
      <w:r w:rsidRPr="00A22F04">
        <w:t>What activity does this guidance apply to?</w:t>
      </w:r>
    </w:p>
    <w:p w14:paraId="44551DBB" w14:textId="77777777" w:rsidR="005F4958" w:rsidRDefault="005F4958" w:rsidP="005F4958">
      <w:pPr>
        <w:pStyle w:val="BodyText1"/>
        <w:rPr>
          <w:rFonts w:eastAsia="Times New Roman"/>
          <w:lang w:eastAsia="en-GB"/>
        </w:rPr>
      </w:pPr>
      <w:r w:rsidRPr="008769F6">
        <w:rPr>
          <w:rFonts w:eastAsia="Times New Roman"/>
          <w:lang w:eastAsia="en-GB"/>
        </w:rPr>
        <w:t xml:space="preserve">This guidance applies to </w:t>
      </w:r>
      <w:r>
        <w:rPr>
          <w:rFonts w:eastAsia="Times New Roman"/>
          <w:lang w:eastAsia="en-GB"/>
        </w:rPr>
        <w:t>the abstraction of water from:</w:t>
      </w:r>
    </w:p>
    <w:p w14:paraId="106270CB" w14:textId="77777777" w:rsidR="005F4958" w:rsidRPr="003E7427" w:rsidRDefault="005F4958" w:rsidP="005F4958">
      <w:pPr>
        <w:pStyle w:val="BodyText1"/>
        <w:numPr>
          <w:ilvl w:val="0"/>
          <w:numId w:val="14"/>
        </w:numPr>
        <w:rPr>
          <w:rFonts w:eastAsia="Times New Roman"/>
          <w:lang w:eastAsia="en-GB"/>
        </w:rPr>
      </w:pPr>
      <w:r w:rsidRPr="003E7427">
        <w:rPr>
          <w:rFonts w:eastAsia="Times New Roman"/>
          <w:lang w:eastAsia="en-GB"/>
        </w:rPr>
        <w:t>Coastal or transitional waters</w:t>
      </w:r>
      <w:r>
        <w:rPr>
          <w:rFonts w:eastAsia="Times New Roman"/>
          <w:lang w:eastAsia="en-GB"/>
        </w:rPr>
        <w:t>.</w:t>
      </w:r>
    </w:p>
    <w:p w14:paraId="2B8DD7C4" w14:textId="77777777" w:rsidR="005F4958" w:rsidRDefault="005F4958" w:rsidP="005F4958">
      <w:pPr>
        <w:pStyle w:val="BodyText1"/>
        <w:numPr>
          <w:ilvl w:val="0"/>
          <w:numId w:val="14"/>
        </w:numPr>
        <w:rPr>
          <w:rFonts w:eastAsia="Times New Roman"/>
          <w:color w:val="333333"/>
          <w:lang w:eastAsia="en-GB"/>
        </w:rPr>
      </w:pPr>
      <w:r w:rsidRPr="003E7427">
        <w:rPr>
          <w:rFonts w:eastAsia="Times New Roman"/>
          <w:lang w:eastAsia="en-GB"/>
        </w:rPr>
        <w:t>Groundwater below the bed of coastal or transitional waters.</w:t>
      </w:r>
    </w:p>
    <w:p w14:paraId="7B9B40A2" w14:textId="77777777" w:rsidR="005F4958" w:rsidRPr="00820023" w:rsidRDefault="005F4958" w:rsidP="005F4958">
      <w:pPr>
        <w:pStyle w:val="Heading1"/>
        <w:rPr>
          <w:shd w:val="clear" w:color="auto" w:fill="FFFFFF"/>
        </w:rPr>
      </w:pPr>
      <w:r w:rsidRPr="00820023">
        <w:rPr>
          <w:shd w:val="clear" w:color="auto" w:fill="FFFFFF"/>
        </w:rPr>
        <w:t>Understanding the activity  </w:t>
      </w:r>
    </w:p>
    <w:p w14:paraId="0E0B7D2B" w14:textId="7B24C1DD" w:rsidR="005F4958" w:rsidRPr="00657247" w:rsidRDefault="005F4958" w:rsidP="005F4958">
      <w:pPr>
        <w:pStyle w:val="BodyText1"/>
      </w:pPr>
      <w:r w:rsidRPr="0050218D">
        <w:t>This activity covers t</w:t>
      </w:r>
      <w:r w:rsidRPr="00657247">
        <w:t xml:space="preserve">he abstraction of water from </w:t>
      </w:r>
      <w:hyperlink w:anchor="_Definitions" w:history="1">
        <w:r w:rsidRPr="00657247">
          <w:rPr>
            <w:rStyle w:val="Hyperlink"/>
          </w:rPr>
          <w:t xml:space="preserve">coastal </w:t>
        </w:r>
        <w:r w:rsidR="00104D85">
          <w:rPr>
            <w:rStyle w:val="Hyperlink"/>
          </w:rPr>
          <w:t>or</w:t>
        </w:r>
        <w:r w:rsidRPr="00657247">
          <w:rPr>
            <w:rStyle w:val="Hyperlink"/>
          </w:rPr>
          <w:t xml:space="preserve"> transitional waters</w:t>
        </w:r>
      </w:hyperlink>
      <w:r w:rsidRPr="00657247">
        <w:t xml:space="preserve">, or </w:t>
      </w:r>
      <w:hyperlink w:anchor="_Definitions" w:history="1">
        <w:r w:rsidRPr="00657247">
          <w:rPr>
            <w:rStyle w:val="Hyperlink"/>
          </w:rPr>
          <w:t>groundwater</w:t>
        </w:r>
      </w:hyperlink>
      <w:r w:rsidRPr="00657247">
        <w:t xml:space="preserve"> below the bed of coastal or transitional waters where the total daily volume is more than or equal to 10m</w:t>
      </w:r>
      <w:r w:rsidRPr="00657247">
        <w:rPr>
          <w:vertAlign w:val="superscript"/>
        </w:rPr>
        <w:t>3</w:t>
      </w:r>
      <w:r w:rsidRPr="00657247">
        <w:t xml:space="preserve"> per day.</w:t>
      </w:r>
    </w:p>
    <w:p w14:paraId="69CD86E7" w14:textId="77777777" w:rsidR="005F4958" w:rsidRDefault="005F4958" w:rsidP="005F4958">
      <w:pPr>
        <w:pStyle w:val="Heading1"/>
        <w:rPr>
          <w:shd w:val="clear" w:color="auto" w:fill="FFFFFF"/>
        </w:rPr>
      </w:pPr>
      <w:r>
        <w:rPr>
          <w:shd w:val="clear" w:color="auto" w:fill="FFFFFF"/>
        </w:rPr>
        <w:t>Understanding and minimising risks to the water environment </w:t>
      </w:r>
    </w:p>
    <w:p w14:paraId="1CC5FBF1" w14:textId="31C41FD0" w:rsidR="00377CAE" w:rsidRPr="00377CAE" w:rsidRDefault="00377CAE" w:rsidP="00377CAE">
      <w:pPr>
        <w:pStyle w:val="Heading2"/>
        <w:rPr>
          <w:shd w:val="clear" w:color="auto" w:fill="FFFFFF"/>
        </w:rPr>
      </w:pPr>
      <w:r>
        <w:rPr>
          <w:shd w:val="clear" w:color="auto" w:fill="FFFFFF"/>
        </w:rPr>
        <w:t>Risks to the water environment</w:t>
      </w:r>
    </w:p>
    <w:p w14:paraId="0CBD332C" w14:textId="77777777" w:rsidR="005F4958" w:rsidRPr="008B2887" w:rsidRDefault="005F4958" w:rsidP="005F4958">
      <w:pPr>
        <w:pStyle w:val="BodyText1"/>
        <w:rPr>
          <w:rFonts w:eastAsia="Times New Roman"/>
          <w:lang w:eastAsia="en-GB"/>
        </w:rPr>
      </w:pPr>
      <w:r w:rsidRPr="00F734AF">
        <w:rPr>
          <w:rFonts w:eastAsia="Times New Roman"/>
          <w:lang w:eastAsia="en-GB"/>
        </w:rPr>
        <w:t>The abstraction of water poses the following risks to the water environment</w:t>
      </w:r>
      <w:r>
        <w:rPr>
          <w:rFonts w:eastAsia="Times New Roman"/>
          <w:lang w:eastAsia="en-GB"/>
        </w:rPr>
        <w:t>:</w:t>
      </w:r>
    </w:p>
    <w:p w14:paraId="5160DE00" w14:textId="77777777" w:rsidR="005F4958" w:rsidRDefault="005F4958" w:rsidP="005F4958">
      <w:pPr>
        <w:pStyle w:val="BodyText1"/>
        <w:numPr>
          <w:ilvl w:val="0"/>
          <w:numId w:val="15"/>
        </w:numPr>
        <w:rPr>
          <w:rFonts w:eastAsia="Times New Roman"/>
          <w:lang w:eastAsia="en-GB"/>
        </w:rPr>
      </w:pPr>
      <w:r>
        <w:rPr>
          <w:rFonts w:eastAsia="Times New Roman"/>
          <w:lang w:eastAsia="en-GB"/>
        </w:rPr>
        <w:t>The d</w:t>
      </w:r>
      <w:r w:rsidRPr="008B2887">
        <w:rPr>
          <w:rFonts w:eastAsia="Times New Roman"/>
          <w:lang w:eastAsia="en-GB"/>
        </w:rPr>
        <w:t>eath of fish from passing through turbines</w:t>
      </w:r>
      <w:r>
        <w:rPr>
          <w:rFonts w:eastAsia="Times New Roman"/>
          <w:lang w:eastAsia="en-GB"/>
        </w:rPr>
        <w:t>.</w:t>
      </w:r>
    </w:p>
    <w:p w14:paraId="3995D339" w14:textId="677B4BE8" w:rsidR="002E0FDA" w:rsidRPr="002E0FDA" w:rsidRDefault="002E0FDA" w:rsidP="002E0FDA">
      <w:pPr>
        <w:pStyle w:val="BodyText1"/>
      </w:pPr>
      <w:r w:rsidRPr="000677EE">
        <w:t xml:space="preserve">To minimise risks to the water environment and to help you comply with the standard conditions for this activity, you should follow the </w:t>
      </w:r>
      <w:r>
        <w:t>D</w:t>
      </w:r>
      <w:r w:rsidRPr="000677EE">
        <w:t xml:space="preserve">os and </w:t>
      </w:r>
      <w:r>
        <w:t>D</w:t>
      </w:r>
      <w:r w:rsidRPr="000677EE">
        <w:t>on’ts below</w:t>
      </w:r>
      <w:r>
        <w:t xml:space="preserve">. </w:t>
      </w:r>
    </w:p>
    <w:p w14:paraId="60A09CAF" w14:textId="001BED3C" w:rsidR="005F4958" w:rsidRPr="008B2887" w:rsidRDefault="005F4958" w:rsidP="002E0FDA">
      <w:pPr>
        <w:pStyle w:val="Heading2"/>
        <w:rPr>
          <w:rFonts w:eastAsia="Times New Roman"/>
          <w:lang w:eastAsia="en-GB"/>
        </w:rPr>
      </w:pPr>
      <w:r>
        <w:rPr>
          <w:rFonts w:eastAsia="Times New Roman"/>
          <w:lang w:eastAsia="en-GB"/>
        </w:rPr>
        <w:lastRenderedPageBreak/>
        <w:t>Dos and Don’ts</w:t>
      </w:r>
    </w:p>
    <w:p w14:paraId="0CA7C722" w14:textId="77777777" w:rsidR="005F4958" w:rsidRPr="003E7427" w:rsidRDefault="005F4958" w:rsidP="00BD074C">
      <w:pPr>
        <w:pStyle w:val="BodyText1"/>
        <w:numPr>
          <w:ilvl w:val="0"/>
          <w:numId w:val="17"/>
        </w:numPr>
        <w:rPr>
          <w:lang w:eastAsia="en-GB"/>
        </w:rPr>
      </w:pPr>
      <w:r w:rsidRPr="003E7427">
        <w:rPr>
          <w:lang w:eastAsia="en-GB"/>
        </w:rPr>
        <w:t>Do take all reasonable steps to secure efficient and sustainable water use.</w:t>
      </w:r>
    </w:p>
    <w:p w14:paraId="1B8F29DD" w14:textId="77777777" w:rsidR="005F4958" w:rsidRPr="003E7427" w:rsidRDefault="005F4958" w:rsidP="00BD074C">
      <w:pPr>
        <w:pStyle w:val="BodyText1"/>
        <w:numPr>
          <w:ilvl w:val="0"/>
          <w:numId w:val="17"/>
        </w:numPr>
        <w:rPr>
          <w:lang w:eastAsia="en-GB"/>
        </w:rPr>
      </w:pPr>
      <w:r w:rsidRPr="003E7427">
        <w:rPr>
          <w:lang w:eastAsia="en-GB"/>
        </w:rPr>
        <w:t>Do regularly check your abstraction equipment to make sure it’s in good condition and fix any leaks straight away.</w:t>
      </w:r>
    </w:p>
    <w:p w14:paraId="5E45B3D6" w14:textId="77777777" w:rsidR="005F4958" w:rsidRPr="003E7427" w:rsidRDefault="005F4958" w:rsidP="00BD074C">
      <w:pPr>
        <w:pStyle w:val="BodyText1"/>
        <w:numPr>
          <w:ilvl w:val="0"/>
          <w:numId w:val="17"/>
        </w:numPr>
        <w:rPr>
          <w:lang w:eastAsia="en-GB"/>
        </w:rPr>
      </w:pPr>
      <w:r w:rsidRPr="003E7427">
        <w:rPr>
          <w:lang w:eastAsia="en-GB"/>
        </w:rPr>
        <w:t>Do check what other species and habitats may be affected.</w:t>
      </w:r>
    </w:p>
    <w:p w14:paraId="33110D8E" w14:textId="229CF2A5" w:rsidR="005F4958" w:rsidRPr="00C32682" w:rsidRDefault="005F4958" w:rsidP="005F4958">
      <w:pPr>
        <w:pStyle w:val="BodyText1"/>
        <w:numPr>
          <w:ilvl w:val="0"/>
          <w:numId w:val="16"/>
        </w:numPr>
        <w:rPr>
          <w:lang w:eastAsia="en-GB"/>
        </w:rPr>
      </w:pPr>
      <w:r w:rsidRPr="003E7427">
        <w:rPr>
          <w:lang w:eastAsia="en-GB"/>
        </w:rPr>
        <w:t>Do consider the potential impacts on other water users.</w:t>
      </w:r>
    </w:p>
    <w:p w14:paraId="3DBB8751" w14:textId="77777777" w:rsidR="00140E7C" w:rsidRPr="007973CB" w:rsidRDefault="00140E7C" w:rsidP="00140E7C">
      <w:pPr>
        <w:pStyle w:val="Heading1"/>
      </w:pPr>
      <w:bookmarkStart w:id="0" w:name="_Definitions"/>
      <w:bookmarkEnd w:id="0"/>
      <w:r w:rsidRPr="007973CB">
        <w:t>Glossary</w:t>
      </w:r>
    </w:p>
    <w:p w14:paraId="5E430F88" w14:textId="77777777" w:rsidR="00140E7C" w:rsidRPr="003A0587" w:rsidRDefault="00140E7C" w:rsidP="00140E7C">
      <w:pPr>
        <w:pStyle w:val="BodyText1"/>
      </w:pPr>
      <w:r w:rsidRPr="00257CCA">
        <w:t xml:space="preserve">A full list of terms is available in the </w:t>
      </w:r>
      <w:r>
        <w:t xml:space="preserve">main </w:t>
      </w:r>
      <w:r w:rsidRPr="00257CCA">
        <w:t>Glossary</w:t>
      </w:r>
      <w:r>
        <w:t>.</w:t>
      </w:r>
    </w:p>
    <w:p w14:paraId="6A6AED80" w14:textId="1CD3EEA5" w:rsidR="005F4958" w:rsidRDefault="005F4958" w:rsidP="005F4958">
      <w:pPr>
        <w:pStyle w:val="BodyText1"/>
        <w:rPr>
          <w:rFonts w:eastAsia="Arial"/>
        </w:rPr>
      </w:pPr>
      <w:r w:rsidRPr="0050218D">
        <w:rPr>
          <w:rFonts w:eastAsia="Arial"/>
          <w:b/>
          <w:bCs/>
        </w:rPr>
        <w:t>Coastal water</w:t>
      </w:r>
      <w:r w:rsidRPr="0050218D">
        <w:rPr>
          <w:rFonts w:eastAsia="Arial"/>
        </w:rPr>
        <w:t xml:space="preserve"> </w:t>
      </w:r>
      <w:r w:rsidR="00BD074C" w:rsidRPr="00BD074C">
        <w:rPr>
          <w:rFonts w:eastAsia="Arial"/>
        </w:rPr>
        <w:t>means</w:t>
      </w:r>
      <w:r w:rsidRPr="52A942AE">
        <w:rPr>
          <w:rFonts w:eastAsia="Arial"/>
          <w:color w:val="016574" w:themeColor="accent6"/>
        </w:rPr>
        <w:t xml:space="preserve"> </w:t>
      </w:r>
      <w:r w:rsidRPr="52A942AE">
        <w:rPr>
          <w:rFonts w:eastAsia="Arial"/>
        </w:rPr>
        <w:t>water (other than groundwater) within the area extending landward from the 3 mile limit up to the limit of the highest tide or, where appropriate, the seaward limits of any bodies of transitional water, but does not include any water beyond the seaward limits of the territorial sea of the United Kingdom adjacent to Scotland.</w:t>
      </w:r>
    </w:p>
    <w:p w14:paraId="6C4EFA69" w14:textId="7E3A55ED" w:rsidR="00684F5A" w:rsidRPr="00BD074C" w:rsidRDefault="005F4958" w:rsidP="00BD074C">
      <w:pPr>
        <w:pStyle w:val="BodyText1"/>
        <w:rPr>
          <w:color w:val="000000"/>
        </w:rPr>
      </w:pPr>
      <w:r w:rsidRPr="0050218D">
        <w:rPr>
          <w:rFonts w:eastAsia="Arial"/>
          <w:b/>
          <w:bCs/>
        </w:rPr>
        <w:t>Transitional water</w:t>
      </w:r>
      <w:r w:rsidRPr="52A942AE">
        <w:rPr>
          <w:rFonts w:eastAsia="Arial"/>
        </w:rPr>
        <w:t xml:space="preserve"> </w:t>
      </w:r>
      <w:r w:rsidR="00BD074C">
        <w:rPr>
          <w:rFonts w:eastAsia="Arial"/>
        </w:rPr>
        <w:t>means</w:t>
      </w:r>
      <w:r w:rsidRPr="52A942AE">
        <w:rPr>
          <w:rFonts w:eastAsia="Arial"/>
        </w:rPr>
        <w:t xml:space="preserve"> w</w:t>
      </w:r>
      <w:r w:rsidRPr="52A942AE">
        <w:rPr>
          <w:color w:val="000000"/>
        </w:rPr>
        <w:t>ater (other than groundwater) in the vicinity of river mouths which is partly saline in character as a result of its proximity to coastal water but which is substantially influenced by freshwater flows.</w:t>
      </w:r>
    </w:p>
    <w:p w14:paraId="5FE7B925" w14:textId="1DBD70FC" w:rsidR="00DD68ED" w:rsidRDefault="00DD68ED" w:rsidP="00DD68ED">
      <w:pPr>
        <w:pStyle w:val="Heading1"/>
        <w:rPr>
          <w:rFonts w:eastAsia="Times New Roman"/>
          <w:lang w:eastAsia="en-GB"/>
        </w:rPr>
      </w:pPr>
      <w:r>
        <w:rPr>
          <w:rFonts w:eastAsia="Times New Roman"/>
          <w:lang w:eastAsia="en-GB"/>
        </w:rPr>
        <w:t>D</w:t>
      </w:r>
      <w:r w:rsidR="004D5FB9">
        <w:rPr>
          <w:rFonts w:eastAsia="Times New Roman"/>
          <w:lang w:eastAsia="en-GB"/>
        </w:rPr>
        <w:t>isclaimer</w:t>
      </w:r>
    </w:p>
    <w:p w14:paraId="2838F7BD" w14:textId="73EF51BE" w:rsidR="003365E8" w:rsidRPr="003365E8" w:rsidRDefault="003365E8" w:rsidP="003365E8">
      <w:pPr>
        <w:pStyle w:val="BodyText1"/>
      </w:pPr>
      <w:r w:rsidRPr="003365E8">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2C84DB96" w14:textId="77777777" w:rsidR="003365E8" w:rsidRPr="003365E8" w:rsidRDefault="003365E8" w:rsidP="003365E8">
      <w:pPr>
        <w:pStyle w:val="BodyText1"/>
        <w:numPr>
          <w:ilvl w:val="0"/>
          <w:numId w:val="20"/>
        </w:numPr>
      </w:pPr>
      <w:r w:rsidRPr="003365E8">
        <w:t>any direct, indirect and consequential losses</w:t>
      </w:r>
    </w:p>
    <w:p w14:paraId="23DC0BC3" w14:textId="3BA9BCFF" w:rsidR="003365E8" w:rsidRPr="003365E8" w:rsidRDefault="003365E8" w:rsidP="003365E8">
      <w:pPr>
        <w:pStyle w:val="BodyText1"/>
        <w:numPr>
          <w:ilvl w:val="0"/>
          <w:numId w:val="20"/>
        </w:numPr>
      </w:pPr>
      <w:r w:rsidRPr="003365E8">
        <w:t>any loss or damage caused by civil wrongs, breach of contract or otherwise</w:t>
      </w:r>
    </w:p>
    <w:p w14:paraId="4BBBF102" w14:textId="77777777" w:rsidR="003365E8" w:rsidRPr="003365E8" w:rsidRDefault="003365E8" w:rsidP="003365E8">
      <w:pPr>
        <w:pStyle w:val="BodyText1"/>
      </w:pPr>
      <w:r w:rsidRPr="003365E8">
        <w:lastRenderedPageBreak/>
        <w:t xml:space="preserve">SEPA reserves the right to depart from this guidance and take appropriate action as it considers necessary or appropriate. Operators are responsible for ensuring that they are compliant with the law. If necessary, independent legal / specialist advice should be sought.  </w:t>
      </w:r>
    </w:p>
    <w:p w14:paraId="62EE25F4" w14:textId="77777777" w:rsidR="003365E8" w:rsidRPr="003365E8" w:rsidRDefault="003365E8" w:rsidP="003365E8">
      <w:pPr>
        <w:pStyle w:val="BodyText1"/>
      </w:pPr>
    </w:p>
    <w:sectPr w:rsidR="003365E8" w:rsidRPr="003365E8" w:rsidSect="006A6137">
      <w:headerReference w:type="even" r:id="rId14"/>
      <w:headerReference w:type="default" r:id="rId15"/>
      <w:footerReference w:type="even" r:id="rId16"/>
      <w:footerReference w:type="default" r:id="rId17"/>
      <w:headerReference w:type="first" r:id="rId18"/>
      <w:footerReference w:type="first" r:id="rId19"/>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8689D" w14:textId="77777777" w:rsidR="00046714" w:rsidRDefault="00046714" w:rsidP="00660C79">
      <w:pPr>
        <w:spacing w:line="240" w:lineRule="auto"/>
      </w:pPr>
      <w:r>
        <w:separator/>
      </w:r>
    </w:p>
  </w:endnote>
  <w:endnote w:type="continuationSeparator" w:id="0">
    <w:p w14:paraId="2E4D8457" w14:textId="77777777" w:rsidR="00046714" w:rsidRDefault="00046714" w:rsidP="00660C79">
      <w:pPr>
        <w:spacing w:line="240" w:lineRule="auto"/>
      </w:pPr>
      <w:r>
        <w:continuationSeparator/>
      </w:r>
    </w:p>
  </w:endnote>
  <w:endnote w:type="continuationNotice" w:id="1">
    <w:p w14:paraId="5A183E26" w14:textId="77777777" w:rsidR="00046714" w:rsidRDefault="000467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BE6A"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69EC67BF" wp14:editId="2D5505DF">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7AE67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EC67BF"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27AE67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05D8C666"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683FDB05"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C22FD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A366F" w14:textId="77777777" w:rsidR="00EC6A73" w:rsidRDefault="00751749" w:rsidP="00917BB1">
    <w:pPr>
      <w:pStyle w:val="Footer"/>
      <w:ind w:right="360"/>
    </w:pPr>
    <w:r>
      <w:rPr>
        <w:noProof/>
      </w:rPr>
      <mc:AlternateContent>
        <mc:Choice Requires="wps">
          <w:drawing>
            <wp:anchor distT="0" distB="0" distL="0" distR="0" simplePos="0" relativeHeight="251658247" behindDoc="0" locked="0" layoutInCell="1" allowOverlap="1" wp14:anchorId="31CEFCAD" wp14:editId="6CC04951">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2E970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CEFCAD"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72E970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p w14:paraId="6CD71A16"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27C9ABC7" wp14:editId="7ECFB4CD">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0F66822B"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1310AF10"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218B00A" w14:textId="77777777" w:rsidR="00917BB1" w:rsidRDefault="00917BB1" w:rsidP="00917BB1">
    <w:pPr>
      <w:pStyle w:val="Footer"/>
      <w:ind w:right="360"/>
    </w:pPr>
    <w:r>
      <w:rPr>
        <w:noProof/>
      </w:rPr>
      <w:drawing>
        <wp:inline distT="0" distB="0" distL="0" distR="0" wp14:anchorId="01580F91" wp14:editId="2A59E127">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E9D9"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4AB3558C" wp14:editId="5CE5BEB0">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392FE6"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B3558C"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6392FE6"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8C938" w14:textId="77777777" w:rsidR="00046714" w:rsidRDefault="00046714" w:rsidP="00660C79">
      <w:pPr>
        <w:spacing w:line="240" w:lineRule="auto"/>
      </w:pPr>
      <w:r>
        <w:separator/>
      </w:r>
    </w:p>
  </w:footnote>
  <w:footnote w:type="continuationSeparator" w:id="0">
    <w:p w14:paraId="082753E1" w14:textId="77777777" w:rsidR="00046714" w:rsidRDefault="00046714" w:rsidP="00660C79">
      <w:pPr>
        <w:spacing w:line="240" w:lineRule="auto"/>
      </w:pPr>
      <w:r>
        <w:continuationSeparator/>
      </w:r>
    </w:p>
  </w:footnote>
  <w:footnote w:type="continuationNotice" w:id="1">
    <w:p w14:paraId="3B87F351" w14:textId="77777777" w:rsidR="00046714" w:rsidRDefault="0004671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86DA"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6C0278EA" wp14:editId="35E59415">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FE0CA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0278EA"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7FE0CA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51695" w14:textId="568F5CA3" w:rsidR="008D113C" w:rsidRPr="00917BB1" w:rsidRDefault="0075174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436EB2D5" wp14:editId="08CF80FB">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BD1FEB"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6EB2D5"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4BD1FEB"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7965AC">
      <w:rPr>
        <w:color w:val="6E7571" w:themeColor="text2"/>
      </w:rPr>
      <w:t xml:space="preserve">EASR Guidance: </w:t>
    </w:r>
    <w:r w:rsidR="00C27D40">
      <w:rPr>
        <w:color w:val="6E7571" w:themeColor="text2"/>
      </w:rPr>
      <w:t xml:space="preserve">Registration Activity: Abstraction </w:t>
    </w:r>
    <w:r w:rsidR="00DF74D2">
      <w:rPr>
        <w:color w:val="6E7571" w:themeColor="text2"/>
      </w:rPr>
      <w:t>of seawater or groundwater under the seabed</w:t>
    </w:r>
  </w:p>
  <w:p w14:paraId="5B801FC1"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1B93CA5E" wp14:editId="0FC73FEF">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E7E3B40"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D2383"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551F66D7" wp14:editId="30B92AFF">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4C0E5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1F66D7"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84C0E5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85ABF"/>
    <w:multiLevelType w:val="hybridMultilevel"/>
    <w:tmpl w:val="4956B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9E6E21"/>
    <w:multiLevelType w:val="hybridMultilevel"/>
    <w:tmpl w:val="53184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C27A01"/>
    <w:multiLevelType w:val="hybridMultilevel"/>
    <w:tmpl w:val="19D8B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B63916"/>
    <w:multiLevelType w:val="hybridMultilevel"/>
    <w:tmpl w:val="7F28CA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C2E1195"/>
    <w:multiLevelType w:val="hybridMultilevel"/>
    <w:tmpl w:val="82F46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A540FE"/>
    <w:multiLevelType w:val="hybridMultilevel"/>
    <w:tmpl w:val="06CC2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E7379F"/>
    <w:multiLevelType w:val="hybridMultilevel"/>
    <w:tmpl w:val="3AC02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18"/>
  </w:num>
  <w:num w:numId="12" w16cid:durableId="791052000">
    <w:abstractNumId w:val="11"/>
  </w:num>
  <w:num w:numId="13" w16cid:durableId="593785568">
    <w:abstractNumId w:val="19"/>
  </w:num>
  <w:num w:numId="14" w16cid:durableId="1906642579">
    <w:abstractNumId w:val="16"/>
  </w:num>
  <w:num w:numId="15" w16cid:durableId="1512793139">
    <w:abstractNumId w:val="13"/>
  </w:num>
  <w:num w:numId="16" w16cid:durableId="38014364">
    <w:abstractNumId w:val="15"/>
  </w:num>
  <w:num w:numId="17" w16cid:durableId="958950026">
    <w:abstractNumId w:val="10"/>
  </w:num>
  <w:num w:numId="18" w16cid:durableId="656346090">
    <w:abstractNumId w:val="12"/>
  </w:num>
  <w:num w:numId="19" w16cid:durableId="219829457">
    <w:abstractNumId w:val="14"/>
  </w:num>
  <w:num w:numId="20" w16cid:durableId="11630108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8"/>
    <w:rsid w:val="0003257F"/>
    <w:rsid w:val="00032829"/>
    <w:rsid w:val="00040561"/>
    <w:rsid w:val="00046714"/>
    <w:rsid w:val="00047E51"/>
    <w:rsid w:val="0006177E"/>
    <w:rsid w:val="00070937"/>
    <w:rsid w:val="00073677"/>
    <w:rsid w:val="00080BE0"/>
    <w:rsid w:val="000B7559"/>
    <w:rsid w:val="000C1B83"/>
    <w:rsid w:val="000C74ED"/>
    <w:rsid w:val="000E0D15"/>
    <w:rsid w:val="000F3D82"/>
    <w:rsid w:val="00104D85"/>
    <w:rsid w:val="00105F31"/>
    <w:rsid w:val="00140E7C"/>
    <w:rsid w:val="001E4E9F"/>
    <w:rsid w:val="001F1151"/>
    <w:rsid w:val="002042E6"/>
    <w:rsid w:val="002043BF"/>
    <w:rsid w:val="00223D34"/>
    <w:rsid w:val="00236552"/>
    <w:rsid w:val="00264570"/>
    <w:rsid w:val="00281BB1"/>
    <w:rsid w:val="00283CBB"/>
    <w:rsid w:val="00290B1F"/>
    <w:rsid w:val="002B4381"/>
    <w:rsid w:val="002E0FDA"/>
    <w:rsid w:val="002F7C32"/>
    <w:rsid w:val="0030096D"/>
    <w:rsid w:val="00317618"/>
    <w:rsid w:val="00326C77"/>
    <w:rsid w:val="003341AD"/>
    <w:rsid w:val="003365E8"/>
    <w:rsid w:val="00354EA8"/>
    <w:rsid w:val="00355F82"/>
    <w:rsid w:val="00377CAE"/>
    <w:rsid w:val="00394726"/>
    <w:rsid w:val="003A69EB"/>
    <w:rsid w:val="003C5807"/>
    <w:rsid w:val="003D5C65"/>
    <w:rsid w:val="003E319E"/>
    <w:rsid w:val="003F5384"/>
    <w:rsid w:val="004073BC"/>
    <w:rsid w:val="00411863"/>
    <w:rsid w:val="004133B7"/>
    <w:rsid w:val="00444AA1"/>
    <w:rsid w:val="00496210"/>
    <w:rsid w:val="004B10D4"/>
    <w:rsid w:val="004B79BB"/>
    <w:rsid w:val="004D5FB9"/>
    <w:rsid w:val="004E1575"/>
    <w:rsid w:val="004E408D"/>
    <w:rsid w:val="004F54CF"/>
    <w:rsid w:val="00533B89"/>
    <w:rsid w:val="00551989"/>
    <w:rsid w:val="00566DFF"/>
    <w:rsid w:val="00587EA6"/>
    <w:rsid w:val="005A355E"/>
    <w:rsid w:val="005A5536"/>
    <w:rsid w:val="005C30CC"/>
    <w:rsid w:val="005D1213"/>
    <w:rsid w:val="005E44D7"/>
    <w:rsid w:val="005F4958"/>
    <w:rsid w:val="006243FF"/>
    <w:rsid w:val="00637D5E"/>
    <w:rsid w:val="00642F03"/>
    <w:rsid w:val="00655867"/>
    <w:rsid w:val="00660C79"/>
    <w:rsid w:val="00684F5A"/>
    <w:rsid w:val="00697A72"/>
    <w:rsid w:val="006A6137"/>
    <w:rsid w:val="006D16CE"/>
    <w:rsid w:val="006D72FC"/>
    <w:rsid w:val="006F69C4"/>
    <w:rsid w:val="007174D5"/>
    <w:rsid w:val="00725053"/>
    <w:rsid w:val="007404EA"/>
    <w:rsid w:val="00751749"/>
    <w:rsid w:val="0077351C"/>
    <w:rsid w:val="00776453"/>
    <w:rsid w:val="007777DA"/>
    <w:rsid w:val="007965AC"/>
    <w:rsid w:val="007C3F12"/>
    <w:rsid w:val="007D441B"/>
    <w:rsid w:val="00801105"/>
    <w:rsid w:val="00826984"/>
    <w:rsid w:val="00861B46"/>
    <w:rsid w:val="008856A5"/>
    <w:rsid w:val="008B3381"/>
    <w:rsid w:val="008B4FA6"/>
    <w:rsid w:val="008C1A73"/>
    <w:rsid w:val="008D113C"/>
    <w:rsid w:val="008D376F"/>
    <w:rsid w:val="0090168D"/>
    <w:rsid w:val="009119E7"/>
    <w:rsid w:val="00911B06"/>
    <w:rsid w:val="00917BB1"/>
    <w:rsid w:val="00935C80"/>
    <w:rsid w:val="00975D21"/>
    <w:rsid w:val="00980531"/>
    <w:rsid w:val="0099486A"/>
    <w:rsid w:val="0099700E"/>
    <w:rsid w:val="009A240D"/>
    <w:rsid w:val="009A689A"/>
    <w:rsid w:val="009C5F29"/>
    <w:rsid w:val="00A40F47"/>
    <w:rsid w:val="00A56DE0"/>
    <w:rsid w:val="00A60B0B"/>
    <w:rsid w:val="00A807AB"/>
    <w:rsid w:val="00A8465C"/>
    <w:rsid w:val="00A9349C"/>
    <w:rsid w:val="00AE068C"/>
    <w:rsid w:val="00AE3C5B"/>
    <w:rsid w:val="00AE43E6"/>
    <w:rsid w:val="00B16B3D"/>
    <w:rsid w:val="00B40868"/>
    <w:rsid w:val="00B46E48"/>
    <w:rsid w:val="00B54CF4"/>
    <w:rsid w:val="00B60055"/>
    <w:rsid w:val="00B66238"/>
    <w:rsid w:val="00B66FEE"/>
    <w:rsid w:val="00B86927"/>
    <w:rsid w:val="00B91ACE"/>
    <w:rsid w:val="00BA6799"/>
    <w:rsid w:val="00BD074C"/>
    <w:rsid w:val="00BE11A8"/>
    <w:rsid w:val="00BE2613"/>
    <w:rsid w:val="00BE6413"/>
    <w:rsid w:val="00BF5B35"/>
    <w:rsid w:val="00C178D6"/>
    <w:rsid w:val="00C27D40"/>
    <w:rsid w:val="00C41198"/>
    <w:rsid w:val="00C42F58"/>
    <w:rsid w:val="00C569B9"/>
    <w:rsid w:val="00C60C8B"/>
    <w:rsid w:val="00C76F04"/>
    <w:rsid w:val="00CA14AC"/>
    <w:rsid w:val="00CC52DA"/>
    <w:rsid w:val="00CC550C"/>
    <w:rsid w:val="00CD317E"/>
    <w:rsid w:val="00CD6AC0"/>
    <w:rsid w:val="00CF7EFB"/>
    <w:rsid w:val="00D04FF7"/>
    <w:rsid w:val="00D30573"/>
    <w:rsid w:val="00D35448"/>
    <w:rsid w:val="00D52DE2"/>
    <w:rsid w:val="00D53EDF"/>
    <w:rsid w:val="00D846DB"/>
    <w:rsid w:val="00DB4C51"/>
    <w:rsid w:val="00DD181D"/>
    <w:rsid w:val="00DD68ED"/>
    <w:rsid w:val="00DE0829"/>
    <w:rsid w:val="00DF0877"/>
    <w:rsid w:val="00DF74D2"/>
    <w:rsid w:val="00E11A56"/>
    <w:rsid w:val="00E326A4"/>
    <w:rsid w:val="00E45CBE"/>
    <w:rsid w:val="00E548B5"/>
    <w:rsid w:val="00E67C75"/>
    <w:rsid w:val="00E8277F"/>
    <w:rsid w:val="00E90739"/>
    <w:rsid w:val="00EA4F2F"/>
    <w:rsid w:val="00EC1F6F"/>
    <w:rsid w:val="00EC5B78"/>
    <w:rsid w:val="00EC6A73"/>
    <w:rsid w:val="00EE0686"/>
    <w:rsid w:val="00EF79C3"/>
    <w:rsid w:val="00F07048"/>
    <w:rsid w:val="00F43D39"/>
    <w:rsid w:val="00F527AB"/>
    <w:rsid w:val="00F622E7"/>
    <w:rsid w:val="00F67D44"/>
    <w:rsid w:val="00F72274"/>
    <w:rsid w:val="00F7499B"/>
    <w:rsid w:val="00F7634B"/>
    <w:rsid w:val="00FC75AB"/>
    <w:rsid w:val="00FE1324"/>
    <w:rsid w:val="00FF5D5A"/>
    <w:rsid w:val="1D66B4A6"/>
    <w:rsid w:val="208CC894"/>
    <w:rsid w:val="64367E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9924C"/>
  <w15:chartTrackingRefBased/>
  <w15:docId w15:val="{F0DC557C-F720-4D30-9A90-FF1C210CD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5F4958"/>
  </w:style>
  <w:style w:type="character" w:styleId="CommentReference">
    <w:name w:val="annotation reference"/>
    <w:basedOn w:val="DefaultParagraphFont"/>
    <w:uiPriority w:val="99"/>
    <w:semiHidden/>
    <w:unhideWhenUsed/>
    <w:rsid w:val="005F4958"/>
    <w:rPr>
      <w:sz w:val="16"/>
      <w:szCs w:val="16"/>
    </w:rPr>
  </w:style>
  <w:style w:type="paragraph" w:styleId="CommentText">
    <w:name w:val="annotation text"/>
    <w:basedOn w:val="Normal"/>
    <w:link w:val="CommentTextChar"/>
    <w:uiPriority w:val="99"/>
    <w:unhideWhenUsed/>
    <w:rsid w:val="005F4958"/>
    <w:pPr>
      <w:spacing w:line="240" w:lineRule="auto"/>
    </w:pPr>
    <w:rPr>
      <w:sz w:val="20"/>
      <w:szCs w:val="20"/>
    </w:rPr>
  </w:style>
  <w:style w:type="character" w:customStyle="1" w:styleId="CommentTextChar">
    <w:name w:val="Comment Text Char"/>
    <w:basedOn w:val="DefaultParagraphFont"/>
    <w:link w:val="CommentText"/>
    <w:uiPriority w:val="99"/>
    <w:rsid w:val="005F4958"/>
    <w:rPr>
      <w:rFonts w:eastAsiaTheme="minorEastAsia"/>
      <w:sz w:val="20"/>
      <w:szCs w:val="20"/>
    </w:rPr>
  </w:style>
  <w:style w:type="character" w:customStyle="1" w:styleId="contentcontrolboundarysink">
    <w:name w:val="contentcontrolboundarysink"/>
    <w:basedOn w:val="DefaultParagraphFont"/>
    <w:uiPriority w:val="1"/>
    <w:rsid w:val="005F4958"/>
    <w:rPr>
      <w:rFonts w:asciiTheme="minorHAnsi" w:eastAsiaTheme="minorEastAsia" w:hAnsiTheme="minorHAnsi" w:cstheme="minorBidi"/>
      <w:sz w:val="24"/>
      <w:szCs w:val="24"/>
    </w:rPr>
  </w:style>
  <w:style w:type="paragraph" w:styleId="ListParagraph">
    <w:name w:val="List Paragraph"/>
    <w:basedOn w:val="Normal"/>
    <w:uiPriority w:val="34"/>
    <w:qFormat/>
    <w:rsid w:val="008B4FA6"/>
    <w:pPr>
      <w:ind w:left="720"/>
      <w:contextualSpacing/>
    </w:pPr>
  </w:style>
  <w:style w:type="paragraph" w:styleId="CommentSubject">
    <w:name w:val="annotation subject"/>
    <w:basedOn w:val="CommentText"/>
    <w:next w:val="CommentText"/>
    <w:link w:val="CommentSubjectChar"/>
    <w:uiPriority w:val="99"/>
    <w:semiHidden/>
    <w:unhideWhenUsed/>
    <w:rsid w:val="004B10D4"/>
    <w:rPr>
      <w:b/>
      <w:bCs/>
    </w:rPr>
  </w:style>
  <w:style w:type="character" w:customStyle="1" w:styleId="CommentSubjectChar">
    <w:name w:val="Comment Subject Char"/>
    <w:basedOn w:val="CommentTextChar"/>
    <w:link w:val="CommentSubject"/>
    <w:uiPriority w:val="99"/>
    <w:semiHidden/>
    <w:rsid w:val="004B10D4"/>
    <w:rPr>
      <w:rFonts w:eastAsiaTheme="minorEastAsia"/>
      <w:b/>
      <w:bCs/>
      <w:sz w:val="20"/>
      <w:szCs w:val="20"/>
    </w:rPr>
  </w:style>
  <w:style w:type="character" w:styleId="Mention">
    <w:name w:val="Mention"/>
    <w:basedOn w:val="DefaultParagraphFont"/>
    <w:uiPriority w:val="99"/>
    <w:unhideWhenUsed/>
    <w:rsid w:val="004B10D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610669184">
      <w:bodyDiv w:val="1"/>
      <w:marLeft w:val="0"/>
      <w:marRight w:val="0"/>
      <w:marTop w:val="0"/>
      <w:marBottom w:val="0"/>
      <w:divBdr>
        <w:top w:val="none" w:sz="0" w:space="0" w:color="auto"/>
        <w:left w:val="none" w:sz="0" w:space="0" w:color="auto"/>
        <w:bottom w:val="none" w:sz="0" w:space="0" w:color="auto"/>
        <w:right w:val="none" w:sz="0" w:space="0" w:color="auto"/>
      </w:divBdr>
    </w:div>
    <w:div w:id="707071738">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12800B-4CF6-4656-B905-672B88095E46}"/>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07AEB60E-9E87-4E21-8612-30C2A1D2F723}">
  <ds:schemaRefs>
    <ds:schemaRef ds:uri="http://schemas.microsoft.com/office/2006/metadata/properties"/>
    <ds:schemaRef ds:uri="ce5b52f7-9556-48ad-bf4f-1238de82834a"/>
    <ds:schemaRef ds:uri="http://schemas.openxmlformats.org/package/2006/metadata/core-properties"/>
    <ds:schemaRef ds:uri="http://www.w3.org/XML/1998/namespace"/>
    <ds:schemaRef ds:uri="http://purl.org/dc/elements/1.1/"/>
    <ds:schemaRef ds:uri="http://schemas.microsoft.com/office/2006/documentManagement/types"/>
    <ds:schemaRef ds:uri="http://purl.org/dc/dcmitype/"/>
    <ds:schemaRef ds:uri="http://schemas.microsoft.com/office/infopath/2007/PartnerControls"/>
    <ds:schemaRef ds:uri="7dd4d6b0-2bd1-40f7-94aa-8d4785e79023"/>
    <ds:schemaRef ds:uri="http://purl.org/dc/terms/"/>
  </ds:schemaRefs>
</ds:datastoreItem>
</file>

<file path=customXml/itemProps4.xml><?xml version="1.0" encoding="utf-8"?>
<ds:datastoreItem xmlns:ds="http://schemas.openxmlformats.org/officeDocument/2006/customXml" ds:itemID="{9D852F0D-BA8F-4218-83E3-3BC95138D4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48</TotalTime>
  <Pages>5</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and Land Unit</dc:creator>
  <cp:keywords/>
  <dc:description/>
  <cp:lastModifiedBy>Pritchard, Alex</cp:lastModifiedBy>
  <cp:revision>29</cp:revision>
  <cp:lastPrinted>2023-03-24T04:44:00Z</cp:lastPrinted>
  <dcterms:created xsi:type="dcterms:W3CDTF">2024-12-12T00:34:00Z</dcterms:created>
  <dcterms:modified xsi:type="dcterms:W3CDTF">2025-03-17T14:36:00Z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