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7622284E" w14:textId="77777777" w:rsidR="004073BC" w:rsidRDefault="00F72274" w:rsidP="004C2C5A">
          <w:r>
            <w:rPr>
              <w:noProof/>
            </w:rPr>
            <w:drawing>
              <wp:anchor distT="0" distB="0" distL="114300" distR="114300" simplePos="0" relativeHeight="251658241" behindDoc="1" locked="0" layoutInCell="1" allowOverlap="1" wp14:anchorId="17CF3146" wp14:editId="02A1FF7C">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1BD2DC3D" wp14:editId="0357DFB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17712C41" w14:textId="6EC3DFEE" w:rsidR="004073BC" w:rsidRDefault="007E5860" w:rsidP="00C75AA3">
          <w:pPr>
            <w:tabs>
              <w:tab w:val="left" w:pos="8790"/>
            </w:tabs>
          </w:pPr>
          <w:r>
            <w:tab/>
          </w:r>
        </w:p>
        <w:p w14:paraId="08EB3584" w14:textId="585EC594" w:rsidR="00B50317" w:rsidRPr="0081631D" w:rsidRDefault="00B50317" w:rsidP="00B50317">
          <w:pPr>
            <w:rPr>
              <w:b/>
              <w:bCs/>
              <w:color w:val="FFFFFF" w:themeColor="background1"/>
              <w:sz w:val="48"/>
              <w:szCs w:val="48"/>
            </w:rPr>
          </w:pPr>
          <w:r w:rsidRPr="0081631D">
            <w:rPr>
              <w:b/>
              <w:bCs/>
              <w:color w:val="FFFFFF" w:themeColor="background1"/>
              <w:sz w:val="48"/>
              <w:szCs w:val="48"/>
            </w:rPr>
            <w:t>WAT-G-</w:t>
          </w:r>
          <w:r>
            <w:rPr>
              <w:b/>
              <w:bCs/>
              <w:color w:val="FFFFFF" w:themeColor="background1"/>
              <w:sz w:val="48"/>
              <w:szCs w:val="48"/>
            </w:rPr>
            <w:t>071</w:t>
          </w:r>
        </w:p>
        <w:p w14:paraId="6BBB6D16" w14:textId="77777777" w:rsidR="004073BC" w:rsidRDefault="004073BC" w:rsidP="008C1A73"/>
        <w:p w14:paraId="30297342" w14:textId="045B813B" w:rsidR="004073BC" w:rsidRDefault="004073BC" w:rsidP="008C1A73"/>
        <w:p w14:paraId="413777B4" w14:textId="4297958D" w:rsidR="00801105" w:rsidRDefault="00281BB1" w:rsidP="004133B7">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5D2F1C64" wp14:editId="682A29E6">
                    <wp:simplePos x="0" y="0"/>
                    <wp:positionH relativeFrom="column">
                      <wp:posOffset>48260</wp:posOffset>
                    </wp:positionH>
                    <wp:positionV relativeFrom="paragraph">
                      <wp:posOffset>7110095</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7D006703" w14:textId="4A25EE1E" w:rsidR="00281BB1" w:rsidRPr="009A240D" w:rsidRDefault="00C8601A" w:rsidP="00281BB1">
                                <w:pPr>
                                  <w:pStyle w:val="BodyText1"/>
                                  <w:rPr>
                                    <w:color w:val="FFFFFF" w:themeColor="background1"/>
                                  </w:rPr>
                                </w:pPr>
                                <w:r>
                                  <w:rPr>
                                    <w:color w:val="FFFFFF" w:themeColor="background1"/>
                                  </w:rPr>
                                  <w:t xml:space="preserve">Version 1.0, </w:t>
                                </w:r>
                                <w:r w:rsidR="004B2A03">
                                  <w:rPr>
                                    <w:color w:val="FFFFFF" w:themeColor="background1"/>
                                  </w:rPr>
                                  <w:t>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F1C64" id="_x0000_t202" coordsize="21600,21600" o:spt="202" path="m,l,21600r21600,l21600,xe">
                    <v:stroke joinstyle="miter"/>
                    <v:path gradientshapeok="t" o:connecttype="rect"/>
                  </v:shapetype>
                  <v:shape id="Text Box 3" o:spid="_x0000_s1026" type="#_x0000_t202" alt="&quot;&quot;" style="position:absolute;margin-left:3.8pt;margin-top:559.85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" filled="f" stroked="f" strokeweight=".5pt">
                    <v:textbox inset="0,0,0,0">
                      <w:txbxContent>
                        <w:p w14:paraId="7D006703" w14:textId="4A25EE1E" w:rsidR="00281BB1" w:rsidRPr="009A240D" w:rsidRDefault="00C8601A" w:rsidP="00281BB1">
                          <w:pPr>
                            <w:pStyle w:val="BodyText1"/>
                            <w:rPr>
                              <w:color w:val="FFFFFF" w:themeColor="background1"/>
                            </w:rPr>
                          </w:pPr>
                          <w:r>
                            <w:rPr>
                              <w:color w:val="FFFFFF" w:themeColor="background1"/>
                            </w:rPr>
                            <w:t xml:space="preserve">Version 1.0, </w:t>
                          </w:r>
                          <w:r w:rsidR="004B2A03">
                            <w:rPr>
                              <w:color w:val="FFFFFF" w:themeColor="background1"/>
                            </w:rPr>
                            <w:t>August 2025</w:t>
                          </w:r>
                        </w:p>
                      </w:txbxContent>
                    </v:textbox>
                    <w10:anchorlock/>
                  </v:shape>
                </w:pict>
              </mc:Fallback>
            </mc:AlternateContent>
          </w:r>
          <w:r w:rsidR="009756D9">
            <w:rPr>
              <w:b/>
              <w:bCs/>
              <w:color w:val="FFFFFF" w:themeColor="background1"/>
              <w:sz w:val="84"/>
              <w:szCs w:val="84"/>
            </w:rPr>
            <w:t xml:space="preserve">SEPA Guidance: </w:t>
          </w:r>
          <w:r w:rsidR="009F3145" w:rsidDel="00DE5EE7">
            <w:rPr>
              <w:b/>
              <w:bCs/>
              <w:color w:val="FFFFFF" w:themeColor="background1"/>
              <w:sz w:val="84"/>
              <w:szCs w:val="84"/>
            </w:rPr>
            <w:t xml:space="preserve">Assigning </w:t>
          </w:r>
          <w:r w:rsidR="009756D9">
            <w:rPr>
              <w:b/>
              <w:bCs/>
              <w:color w:val="FFFFFF" w:themeColor="background1"/>
              <w:sz w:val="84"/>
              <w:szCs w:val="84"/>
            </w:rPr>
            <w:t>g</w:t>
          </w:r>
          <w:r w:rsidR="009F3145" w:rsidDel="00DE5EE7">
            <w:rPr>
              <w:b/>
              <w:bCs/>
              <w:color w:val="FFFFFF" w:themeColor="background1"/>
              <w:sz w:val="84"/>
              <w:szCs w:val="84"/>
            </w:rPr>
            <w:t xml:space="preserve">roundwater </w:t>
          </w:r>
          <w:r w:rsidR="009756D9">
            <w:rPr>
              <w:b/>
              <w:bCs/>
              <w:color w:val="FFFFFF" w:themeColor="background1"/>
              <w:sz w:val="84"/>
              <w:szCs w:val="84"/>
            </w:rPr>
            <w:t>a</w:t>
          </w:r>
          <w:r w:rsidR="009F3145" w:rsidDel="00DE5EE7">
            <w:rPr>
              <w:b/>
              <w:bCs/>
              <w:color w:val="FFFFFF" w:themeColor="background1"/>
              <w:sz w:val="84"/>
              <w:szCs w:val="84"/>
            </w:rPr>
            <w:t xml:space="preserve">ssessment </w:t>
          </w:r>
          <w:r w:rsidR="009756D9">
            <w:rPr>
              <w:b/>
              <w:bCs/>
              <w:color w:val="FFFFFF" w:themeColor="background1"/>
              <w:sz w:val="84"/>
              <w:szCs w:val="84"/>
            </w:rPr>
            <w:t>c</w:t>
          </w:r>
          <w:r w:rsidR="009F3145" w:rsidDel="00DE5EE7">
            <w:rPr>
              <w:b/>
              <w:bCs/>
              <w:color w:val="FFFFFF" w:themeColor="background1"/>
              <w:sz w:val="84"/>
              <w:szCs w:val="84"/>
            </w:rPr>
            <w:t xml:space="preserve">riteria for </w:t>
          </w:r>
          <w:r w:rsidR="009756D9">
            <w:rPr>
              <w:b/>
              <w:bCs/>
              <w:color w:val="FFFFFF" w:themeColor="background1"/>
              <w:sz w:val="84"/>
              <w:szCs w:val="84"/>
            </w:rPr>
            <w:t>p</w:t>
          </w:r>
          <w:r w:rsidR="009F3145" w:rsidDel="00DE5EE7">
            <w:rPr>
              <w:b/>
              <w:bCs/>
              <w:color w:val="FFFFFF" w:themeColor="background1"/>
              <w:sz w:val="84"/>
              <w:szCs w:val="84"/>
            </w:rPr>
            <w:t xml:space="preserve">ollutant </w:t>
          </w:r>
          <w:r w:rsidR="009756D9">
            <w:rPr>
              <w:b/>
              <w:bCs/>
              <w:color w:val="FFFFFF" w:themeColor="background1"/>
              <w:sz w:val="84"/>
              <w:szCs w:val="84"/>
            </w:rPr>
            <w:t>i</w:t>
          </w:r>
          <w:r w:rsidR="009F3145" w:rsidDel="00DE5EE7">
            <w:rPr>
              <w:b/>
              <w:bCs/>
              <w:color w:val="FFFFFF" w:themeColor="background1"/>
              <w:sz w:val="84"/>
              <w:szCs w:val="84"/>
            </w:rPr>
            <w:t>nputs</w:t>
          </w:r>
        </w:p>
        <w:p w14:paraId="07F80E3C" w14:textId="77777777"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1990165091"/>
        <w:docPartObj>
          <w:docPartGallery w:val="Table of Contents"/>
          <w:docPartUnique/>
        </w:docPartObj>
      </w:sdtPr>
      <w:sdtEndPr>
        <w:rPr>
          <w:b/>
          <w:bCs/>
          <w:noProof/>
        </w:rPr>
      </w:sdtEndPr>
      <w:sdtContent>
        <w:p w14:paraId="08ACCC2E" w14:textId="2E9C7E92" w:rsidR="00C8601A" w:rsidRPr="004C2C5A" w:rsidRDefault="00C8601A">
          <w:pPr>
            <w:pStyle w:val="TOCHeading"/>
            <w:rPr>
              <w:rStyle w:val="Heading1Char"/>
            </w:rPr>
          </w:pPr>
          <w:r w:rsidRPr="004C2C5A">
            <w:rPr>
              <w:rStyle w:val="Heading1Char"/>
            </w:rPr>
            <w:t>Contents</w:t>
          </w:r>
        </w:p>
        <w:p w14:paraId="606F345D" w14:textId="02C770FA" w:rsidR="005A69B7" w:rsidRDefault="00C8601A">
          <w:pPr>
            <w:pStyle w:val="TOC1"/>
            <w:tabs>
              <w:tab w:val="left" w:pos="480"/>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3716119" w:history="1">
            <w:r w:rsidR="005A69B7" w:rsidRPr="00A761E7">
              <w:rPr>
                <w:rStyle w:val="Hyperlink"/>
                <w:rFonts w:eastAsia="Times New Roman"/>
                <w:noProof/>
              </w:rPr>
              <w:t>1.</w:t>
            </w:r>
            <w:r w:rsidR="005A69B7">
              <w:rPr>
                <w:noProof/>
                <w:kern w:val="2"/>
                <w:lang w:eastAsia="en-GB"/>
                <w14:ligatures w14:val="standardContextual"/>
              </w:rPr>
              <w:tab/>
            </w:r>
            <w:r w:rsidR="005A69B7" w:rsidRPr="00A761E7">
              <w:rPr>
                <w:rStyle w:val="Hyperlink"/>
                <w:rFonts w:eastAsia="Times New Roman"/>
                <w:noProof/>
              </w:rPr>
              <w:t>Purpose and scope</w:t>
            </w:r>
            <w:r w:rsidR="005A69B7">
              <w:rPr>
                <w:noProof/>
                <w:webHidden/>
              </w:rPr>
              <w:tab/>
            </w:r>
            <w:r w:rsidR="005A69B7">
              <w:rPr>
                <w:noProof/>
                <w:webHidden/>
              </w:rPr>
              <w:fldChar w:fldCharType="begin"/>
            </w:r>
            <w:r w:rsidR="005A69B7">
              <w:rPr>
                <w:noProof/>
                <w:webHidden/>
              </w:rPr>
              <w:instrText xml:space="preserve"> PAGEREF _Toc193716119 \h </w:instrText>
            </w:r>
            <w:r w:rsidR="005A69B7">
              <w:rPr>
                <w:noProof/>
                <w:webHidden/>
              </w:rPr>
            </w:r>
            <w:r w:rsidR="005A69B7">
              <w:rPr>
                <w:noProof/>
                <w:webHidden/>
              </w:rPr>
              <w:fldChar w:fldCharType="separate"/>
            </w:r>
            <w:r w:rsidR="005A69B7">
              <w:rPr>
                <w:noProof/>
                <w:webHidden/>
              </w:rPr>
              <w:t>4</w:t>
            </w:r>
            <w:r w:rsidR="005A69B7">
              <w:rPr>
                <w:noProof/>
                <w:webHidden/>
              </w:rPr>
              <w:fldChar w:fldCharType="end"/>
            </w:r>
          </w:hyperlink>
        </w:p>
        <w:p w14:paraId="2538C29B" w14:textId="3FEDF123" w:rsidR="005A69B7" w:rsidRDefault="005A69B7">
          <w:pPr>
            <w:pStyle w:val="TOC1"/>
            <w:tabs>
              <w:tab w:val="left" w:pos="480"/>
              <w:tab w:val="right" w:leader="dot" w:pos="10212"/>
            </w:tabs>
            <w:rPr>
              <w:noProof/>
              <w:kern w:val="2"/>
              <w:lang w:eastAsia="en-GB"/>
              <w14:ligatures w14:val="standardContextual"/>
            </w:rPr>
          </w:pPr>
          <w:hyperlink w:anchor="_Toc193716120" w:history="1">
            <w:r w:rsidRPr="00A761E7">
              <w:rPr>
                <w:rStyle w:val="Hyperlink"/>
                <w:rFonts w:eastAsia="Times New Roman"/>
                <w:noProof/>
              </w:rPr>
              <w:t>2.</w:t>
            </w:r>
            <w:r>
              <w:rPr>
                <w:noProof/>
                <w:kern w:val="2"/>
                <w:lang w:eastAsia="en-GB"/>
                <w14:ligatures w14:val="standardContextual"/>
              </w:rPr>
              <w:tab/>
            </w:r>
            <w:r w:rsidRPr="00A761E7">
              <w:rPr>
                <w:rStyle w:val="Hyperlink"/>
                <w:rFonts w:eastAsia="Times New Roman"/>
                <w:noProof/>
              </w:rPr>
              <w:t>Objectives for groundwater quality</w:t>
            </w:r>
            <w:r>
              <w:rPr>
                <w:noProof/>
                <w:webHidden/>
              </w:rPr>
              <w:tab/>
            </w:r>
            <w:r>
              <w:rPr>
                <w:noProof/>
                <w:webHidden/>
              </w:rPr>
              <w:fldChar w:fldCharType="begin"/>
            </w:r>
            <w:r>
              <w:rPr>
                <w:noProof/>
                <w:webHidden/>
              </w:rPr>
              <w:instrText xml:space="preserve"> PAGEREF _Toc193716120 \h </w:instrText>
            </w:r>
            <w:r>
              <w:rPr>
                <w:noProof/>
                <w:webHidden/>
              </w:rPr>
            </w:r>
            <w:r>
              <w:rPr>
                <w:noProof/>
                <w:webHidden/>
              </w:rPr>
              <w:fldChar w:fldCharType="separate"/>
            </w:r>
            <w:r>
              <w:rPr>
                <w:noProof/>
                <w:webHidden/>
              </w:rPr>
              <w:t>4</w:t>
            </w:r>
            <w:r>
              <w:rPr>
                <w:noProof/>
                <w:webHidden/>
              </w:rPr>
              <w:fldChar w:fldCharType="end"/>
            </w:r>
          </w:hyperlink>
        </w:p>
        <w:p w14:paraId="0D8E8097" w14:textId="4AAD0953" w:rsidR="005A69B7" w:rsidRDefault="005A69B7">
          <w:pPr>
            <w:pStyle w:val="TOC1"/>
            <w:tabs>
              <w:tab w:val="left" w:pos="480"/>
              <w:tab w:val="right" w:leader="dot" w:pos="10212"/>
            </w:tabs>
            <w:rPr>
              <w:noProof/>
              <w:kern w:val="2"/>
              <w:lang w:eastAsia="en-GB"/>
              <w14:ligatures w14:val="standardContextual"/>
            </w:rPr>
          </w:pPr>
          <w:hyperlink w:anchor="_Toc193716121" w:history="1">
            <w:r w:rsidRPr="00A761E7">
              <w:rPr>
                <w:rStyle w:val="Hyperlink"/>
                <w:rFonts w:eastAsia="Times New Roman"/>
                <w:noProof/>
              </w:rPr>
              <w:t>3.</w:t>
            </w:r>
            <w:r>
              <w:rPr>
                <w:noProof/>
                <w:kern w:val="2"/>
                <w:lang w:eastAsia="en-GB"/>
                <w14:ligatures w14:val="standardContextual"/>
              </w:rPr>
              <w:tab/>
            </w:r>
            <w:r w:rsidRPr="00A761E7">
              <w:rPr>
                <w:rStyle w:val="Hyperlink"/>
                <w:rFonts w:eastAsia="Times New Roman"/>
                <w:noProof/>
              </w:rPr>
              <w:t>Groundwater standards to assess objectives</w:t>
            </w:r>
            <w:r>
              <w:rPr>
                <w:noProof/>
                <w:webHidden/>
              </w:rPr>
              <w:tab/>
            </w:r>
            <w:r>
              <w:rPr>
                <w:noProof/>
                <w:webHidden/>
              </w:rPr>
              <w:fldChar w:fldCharType="begin"/>
            </w:r>
            <w:r>
              <w:rPr>
                <w:noProof/>
                <w:webHidden/>
              </w:rPr>
              <w:instrText xml:space="preserve"> PAGEREF _Toc193716121 \h </w:instrText>
            </w:r>
            <w:r>
              <w:rPr>
                <w:noProof/>
                <w:webHidden/>
              </w:rPr>
            </w:r>
            <w:r>
              <w:rPr>
                <w:noProof/>
                <w:webHidden/>
              </w:rPr>
              <w:fldChar w:fldCharType="separate"/>
            </w:r>
            <w:r>
              <w:rPr>
                <w:noProof/>
                <w:webHidden/>
              </w:rPr>
              <w:t>5</w:t>
            </w:r>
            <w:r>
              <w:rPr>
                <w:noProof/>
                <w:webHidden/>
              </w:rPr>
              <w:fldChar w:fldCharType="end"/>
            </w:r>
          </w:hyperlink>
        </w:p>
        <w:p w14:paraId="2EE7D0E3" w14:textId="3F41E52D" w:rsidR="005A69B7" w:rsidRDefault="005A69B7">
          <w:pPr>
            <w:pStyle w:val="TOC2"/>
            <w:tabs>
              <w:tab w:val="left" w:pos="960"/>
              <w:tab w:val="right" w:leader="dot" w:pos="10212"/>
            </w:tabs>
            <w:rPr>
              <w:noProof/>
              <w:kern w:val="2"/>
              <w:lang w:eastAsia="en-GB"/>
              <w14:ligatures w14:val="standardContextual"/>
            </w:rPr>
          </w:pPr>
          <w:hyperlink w:anchor="_Toc193716122" w:history="1">
            <w:r w:rsidRPr="00A761E7">
              <w:rPr>
                <w:rStyle w:val="Hyperlink"/>
                <w:rFonts w:eastAsia="Times New Roman"/>
                <w:noProof/>
              </w:rPr>
              <w:t>3.1</w:t>
            </w:r>
            <w:r>
              <w:rPr>
                <w:noProof/>
                <w:kern w:val="2"/>
                <w:lang w:eastAsia="en-GB"/>
                <w14:ligatures w14:val="standardContextual"/>
              </w:rPr>
              <w:tab/>
            </w:r>
            <w:r w:rsidRPr="00A761E7">
              <w:rPr>
                <w:rStyle w:val="Hyperlink"/>
                <w:rFonts w:eastAsia="Times New Roman"/>
                <w:noProof/>
              </w:rPr>
              <w:t>Objective 1: Control inputs of hazardous substances</w:t>
            </w:r>
            <w:r>
              <w:rPr>
                <w:noProof/>
                <w:webHidden/>
              </w:rPr>
              <w:tab/>
            </w:r>
            <w:r>
              <w:rPr>
                <w:noProof/>
                <w:webHidden/>
              </w:rPr>
              <w:fldChar w:fldCharType="begin"/>
            </w:r>
            <w:r>
              <w:rPr>
                <w:noProof/>
                <w:webHidden/>
              </w:rPr>
              <w:instrText xml:space="preserve"> PAGEREF _Toc193716122 \h </w:instrText>
            </w:r>
            <w:r>
              <w:rPr>
                <w:noProof/>
                <w:webHidden/>
              </w:rPr>
            </w:r>
            <w:r>
              <w:rPr>
                <w:noProof/>
                <w:webHidden/>
              </w:rPr>
              <w:fldChar w:fldCharType="separate"/>
            </w:r>
            <w:r>
              <w:rPr>
                <w:noProof/>
                <w:webHidden/>
              </w:rPr>
              <w:t>5</w:t>
            </w:r>
            <w:r>
              <w:rPr>
                <w:noProof/>
                <w:webHidden/>
              </w:rPr>
              <w:fldChar w:fldCharType="end"/>
            </w:r>
          </w:hyperlink>
        </w:p>
        <w:p w14:paraId="0E455881" w14:textId="7DA70E53" w:rsidR="005A69B7" w:rsidRDefault="005A69B7">
          <w:pPr>
            <w:pStyle w:val="TOC2"/>
            <w:tabs>
              <w:tab w:val="left" w:pos="960"/>
              <w:tab w:val="right" w:leader="dot" w:pos="10212"/>
            </w:tabs>
            <w:rPr>
              <w:noProof/>
              <w:kern w:val="2"/>
              <w:lang w:eastAsia="en-GB"/>
              <w14:ligatures w14:val="standardContextual"/>
            </w:rPr>
          </w:pPr>
          <w:hyperlink w:anchor="_Toc193716123" w:history="1">
            <w:r w:rsidRPr="00A761E7">
              <w:rPr>
                <w:rStyle w:val="Hyperlink"/>
                <w:rFonts w:eastAsia="Times New Roman"/>
                <w:noProof/>
              </w:rPr>
              <w:t>3.2</w:t>
            </w:r>
            <w:r>
              <w:rPr>
                <w:noProof/>
                <w:kern w:val="2"/>
                <w:lang w:eastAsia="en-GB"/>
                <w14:ligatures w14:val="standardContextual"/>
              </w:rPr>
              <w:tab/>
            </w:r>
            <w:r w:rsidRPr="00A761E7">
              <w:rPr>
                <w:rStyle w:val="Hyperlink"/>
                <w:rFonts w:eastAsia="Times New Roman"/>
                <w:noProof/>
              </w:rPr>
              <w:t>Objective 2: Limit inputs of non-hazardous substances so that they do not cause deterioration of groundwater</w:t>
            </w:r>
            <w:r>
              <w:rPr>
                <w:noProof/>
                <w:webHidden/>
              </w:rPr>
              <w:tab/>
            </w:r>
            <w:r>
              <w:rPr>
                <w:noProof/>
                <w:webHidden/>
              </w:rPr>
              <w:fldChar w:fldCharType="begin"/>
            </w:r>
            <w:r>
              <w:rPr>
                <w:noProof/>
                <w:webHidden/>
              </w:rPr>
              <w:instrText xml:space="preserve"> PAGEREF _Toc193716123 \h </w:instrText>
            </w:r>
            <w:r>
              <w:rPr>
                <w:noProof/>
                <w:webHidden/>
              </w:rPr>
            </w:r>
            <w:r>
              <w:rPr>
                <w:noProof/>
                <w:webHidden/>
              </w:rPr>
              <w:fldChar w:fldCharType="separate"/>
            </w:r>
            <w:r>
              <w:rPr>
                <w:noProof/>
                <w:webHidden/>
              </w:rPr>
              <w:t>7</w:t>
            </w:r>
            <w:r>
              <w:rPr>
                <w:noProof/>
                <w:webHidden/>
              </w:rPr>
              <w:fldChar w:fldCharType="end"/>
            </w:r>
          </w:hyperlink>
        </w:p>
        <w:p w14:paraId="1560FDA5" w14:textId="289981F8" w:rsidR="005A69B7" w:rsidRDefault="005A69B7">
          <w:pPr>
            <w:pStyle w:val="TOC2"/>
            <w:tabs>
              <w:tab w:val="left" w:pos="960"/>
              <w:tab w:val="right" w:leader="dot" w:pos="10212"/>
            </w:tabs>
            <w:rPr>
              <w:noProof/>
              <w:kern w:val="2"/>
              <w:lang w:eastAsia="en-GB"/>
              <w14:ligatures w14:val="standardContextual"/>
            </w:rPr>
          </w:pPr>
          <w:hyperlink w:anchor="_Toc193716124" w:history="1">
            <w:r w:rsidRPr="00A761E7">
              <w:rPr>
                <w:rStyle w:val="Hyperlink"/>
                <w:rFonts w:eastAsia="Times New Roman"/>
                <w:noProof/>
              </w:rPr>
              <w:t>3.3</w:t>
            </w:r>
            <w:r>
              <w:rPr>
                <w:noProof/>
                <w:kern w:val="2"/>
                <w:lang w:eastAsia="en-GB"/>
                <w14:ligatures w14:val="standardContextual"/>
              </w:rPr>
              <w:tab/>
            </w:r>
            <w:r w:rsidRPr="00A761E7">
              <w:rPr>
                <w:rStyle w:val="Hyperlink"/>
                <w:rFonts w:eastAsia="Times New Roman"/>
                <w:noProof/>
              </w:rPr>
              <w:t>Objectives 3 &amp; 4: Prevent deterioration in status and restore to good status</w:t>
            </w:r>
            <w:r>
              <w:rPr>
                <w:noProof/>
                <w:webHidden/>
              </w:rPr>
              <w:tab/>
            </w:r>
            <w:r>
              <w:rPr>
                <w:noProof/>
                <w:webHidden/>
              </w:rPr>
              <w:fldChar w:fldCharType="begin"/>
            </w:r>
            <w:r>
              <w:rPr>
                <w:noProof/>
                <w:webHidden/>
              </w:rPr>
              <w:instrText xml:space="preserve"> PAGEREF _Toc193716124 \h </w:instrText>
            </w:r>
            <w:r>
              <w:rPr>
                <w:noProof/>
                <w:webHidden/>
              </w:rPr>
            </w:r>
            <w:r>
              <w:rPr>
                <w:noProof/>
                <w:webHidden/>
              </w:rPr>
              <w:fldChar w:fldCharType="separate"/>
            </w:r>
            <w:r>
              <w:rPr>
                <w:noProof/>
                <w:webHidden/>
              </w:rPr>
              <w:t>8</w:t>
            </w:r>
            <w:r>
              <w:rPr>
                <w:noProof/>
                <w:webHidden/>
              </w:rPr>
              <w:fldChar w:fldCharType="end"/>
            </w:r>
          </w:hyperlink>
        </w:p>
        <w:p w14:paraId="44EF5FEF" w14:textId="2CB15A66" w:rsidR="005A69B7" w:rsidRDefault="005A69B7">
          <w:pPr>
            <w:pStyle w:val="TOC2"/>
            <w:tabs>
              <w:tab w:val="left" w:pos="960"/>
              <w:tab w:val="right" w:leader="dot" w:pos="10212"/>
            </w:tabs>
            <w:rPr>
              <w:noProof/>
              <w:kern w:val="2"/>
              <w:lang w:eastAsia="en-GB"/>
              <w14:ligatures w14:val="standardContextual"/>
            </w:rPr>
          </w:pPr>
          <w:hyperlink w:anchor="_Toc193716125" w:history="1">
            <w:r w:rsidRPr="00A761E7">
              <w:rPr>
                <w:rStyle w:val="Hyperlink"/>
                <w:rFonts w:eastAsia="Times New Roman"/>
                <w:noProof/>
              </w:rPr>
              <w:t>3.4</w:t>
            </w:r>
            <w:r>
              <w:rPr>
                <w:noProof/>
                <w:kern w:val="2"/>
                <w:lang w:eastAsia="en-GB"/>
                <w14:ligatures w14:val="standardContextual"/>
              </w:rPr>
              <w:tab/>
            </w:r>
            <w:r w:rsidRPr="00A761E7">
              <w:rPr>
                <w:rStyle w:val="Hyperlink"/>
                <w:rFonts w:eastAsia="Times New Roman"/>
                <w:noProof/>
              </w:rPr>
              <w:t>Objectives 5: Prevent direct discharges to groundwater</w:t>
            </w:r>
            <w:r>
              <w:rPr>
                <w:noProof/>
                <w:webHidden/>
              </w:rPr>
              <w:tab/>
            </w:r>
            <w:r>
              <w:rPr>
                <w:noProof/>
                <w:webHidden/>
              </w:rPr>
              <w:fldChar w:fldCharType="begin"/>
            </w:r>
            <w:r>
              <w:rPr>
                <w:noProof/>
                <w:webHidden/>
              </w:rPr>
              <w:instrText xml:space="preserve"> PAGEREF _Toc193716125 \h </w:instrText>
            </w:r>
            <w:r>
              <w:rPr>
                <w:noProof/>
                <w:webHidden/>
              </w:rPr>
            </w:r>
            <w:r>
              <w:rPr>
                <w:noProof/>
                <w:webHidden/>
              </w:rPr>
              <w:fldChar w:fldCharType="separate"/>
            </w:r>
            <w:r>
              <w:rPr>
                <w:noProof/>
                <w:webHidden/>
              </w:rPr>
              <w:t>10</w:t>
            </w:r>
            <w:r>
              <w:rPr>
                <w:noProof/>
                <w:webHidden/>
              </w:rPr>
              <w:fldChar w:fldCharType="end"/>
            </w:r>
          </w:hyperlink>
        </w:p>
        <w:p w14:paraId="2E40281F" w14:textId="5F792AFD" w:rsidR="005A69B7" w:rsidRDefault="005A69B7">
          <w:pPr>
            <w:pStyle w:val="TOC1"/>
            <w:tabs>
              <w:tab w:val="left" w:pos="480"/>
              <w:tab w:val="right" w:leader="dot" w:pos="10212"/>
            </w:tabs>
            <w:rPr>
              <w:noProof/>
              <w:kern w:val="2"/>
              <w:lang w:eastAsia="en-GB"/>
              <w14:ligatures w14:val="standardContextual"/>
            </w:rPr>
          </w:pPr>
          <w:hyperlink w:anchor="_Toc193716126" w:history="1">
            <w:r w:rsidRPr="00A761E7">
              <w:rPr>
                <w:rStyle w:val="Hyperlink"/>
                <w:rFonts w:eastAsia="Times New Roman"/>
                <w:noProof/>
              </w:rPr>
              <w:t>4.</w:t>
            </w:r>
            <w:r>
              <w:rPr>
                <w:noProof/>
                <w:kern w:val="2"/>
                <w:lang w:eastAsia="en-GB"/>
                <w14:ligatures w14:val="standardContextual"/>
              </w:rPr>
              <w:tab/>
            </w:r>
            <w:r w:rsidRPr="00A761E7">
              <w:rPr>
                <w:rStyle w:val="Hyperlink"/>
                <w:rFonts w:eastAsia="Times New Roman"/>
                <w:noProof/>
              </w:rPr>
              <w:t>Demonstrating compliance with objectives</w:t>
            </w:r>
            <w:r>
              <w:rPr>
                <w:noProof/>
                <w:webHidden/>
              </w:rPr>
              <w:tab/>
            </w:r>
            <w:r>
              <w:rPr>
                <w:noProof/>
                <w:webHidden/>
              </w:rPr>
              <w:fldChar w:fldCharType="begin"/>
            </w:r>
            <w:r>
              <w:rPr>
                <w:noProof/>
                <w:webHidden/>
              </w:rPr>
              <w:instrText xml:space="preserve"> PAGEREF _Toc193716126 \h </w:instrText>
            </w:r>
            <w:r>
              <w:rPr>
                <w:noProof/>
                <w:webHidden/>
              </w:rPr>
            </w:r>
            <w:r>
              <w:rPr>
                <w:noProof/>
                <w:webHidden/>
              </w:rPr>
              <w:fldChar w:fldCharType="separate"/>
            </w:r>
            <w:r>
              <w:rPr>
                <w:noProof/>
                <w:webHidden/>
              </w:rPr>
              <w:t>10</w:t>
            </w:r>
            <w:r>
              <w:rPr>
                <w:noProof/>
                <w:webHidden/>
              </w:rPr>
              <w:fldChar w:fldCharType="end"/>
            </w:r>
          </w:hyperlink>
        </w:p>
        <w:p w14:paraId="6E4FEDFF" w14:textId="5C19CE3A" w:rsidR="005A69B7" w:rsidRDefault="005A69B7">
          <w:pPr>
            <w:pStyle w:val="TOC2"/>
            <w:tabs>
              <w:tab w:val="left" w:pos="960"/>
              <w:tab w:val="right" w:leader="dot" w:pos="10212"/>
            </w:tabs>
            <w:rPr>
              <w:noProof/>
              <w:kern w:val="2"/>
              <w:lang w:eastAsia="en-GB"/>
              <w14:ligatures w14:val="standardContextual"/>
            </w:rPr>
          </w:pPr>
          <w:hyperlink w:anchor="_Toc193716127" w:history="1">
            <w:r w:rsidRPr="00A761E7">
              <w:rPr>
                <w:rStyle w:val="Hyperlink"/>
                <w:rFonts w:eastAsia="Times New Roman"/>
                <w:noProof/>
              </w:rPr>
              <w:t>4.1</w:t>
            </w:r>
            <w:r>
              <w:rPr>
                <w:noProof/>
                <w:kern w:val="2"/>
                <w:lang w:eastAsia="en-GB"/>
                <w14:ligatures w14:val="standardContextual"/>
              </w:rPr>
              <w:tab/>
            </w:r>
            <w:r w:rsidRPr="00A761E7">
              <w:rPr>
                <w:rStyle w:val="Hyperlink"/>
                <w:rFonts w:eastAsia="Times New Roman"/>
                <w:noProof/>
              </w:rPr>
              <w:t>Low risk activities</w:t>
            </w:r>
            <w:r>
              <w:rPr>
                <w:noProof/>
                <w:webHidden/>
              </w:rPr>
              <w:tab/>
            </w:r>
            <w:r>
              <w:rPr>
                <w:noProof/>
                <w:webHidden/>
              </w:rPr>
              <w:fldChar w:fldCharType="begin"/>
            </w:r>
            <w:r>
              <w:rPr>
                <w:noProof/>
                <w:webHidden/>
              </w:rPr>
              <w:instrText xml:space="preserve"> PAGEREF _Toc193716127 \h </w:instrText>
            </w:r>
            <w:r>
              <w:rPr>
                <w:noProof/>
                <w:webHidden/>
              </w:rPr>
            </w:r>
            <w:r>
              <w:rPr>
                <w:noProof/>
                <w:webHidden/>
              </w:rPr>
              <w:fldChar w:fldCharType="separate"/>
            </w:r>
            <w:r>
              <w:rPr>
                <w:noProof/>
                <w:webHidden/>
              </w:rPr>
              <w:t>10</w:t>
            </w:r>
            <w:r>
              <w:rPr>
                <w:noProof/>
                <w:webHidden/>
              </w:rPr>
              <w:fldChar w:fldCharType="end"/>
            </w:r>
          </w:hyperlink>
        </w:p>
        <w:p w14:paraId="0B6A4D72" w14:textId="559DEFBF" w:rsidR="005A69B7" w:rsidRDefault="005A69B7">
          <w:pPr>
            <w:pStyle w:val="TOC2"/>
            <w:tabs>
              <w:tab w:val="left" w:pos="960"/>
              <w:tab w:val="right" w:leader="dot" w:pos="10212"/>
            </w:tabs>
            <w:rPr>
              <w:noProof/>
              <w:kern w:val="2"/>
              <w:lang w:eastAsia="en-GB"/>
              <w14:ligatures w14:val="standardContextual"/>
            </w:rPr>
          </w:pPr>
          <w:hyperlink w:anchor="_Toc193716128" w:history="1">
            <w:r w:rsidRPr="00A761E7">
              <w:rPr>
                <w:rStyle w:val="Hyperlink"/>
                <w:rFonts w:eastAsia="Times New Roman"/>
                <w:noProof/>
              </w:rPr>
              <w:t>4.2</w:t>
            </w:r>
            <w:r>
              <w:rPr>
                <w:noProof/>
                <w:kern w:val="2"/>
                <w:lang w:eastAsia="en-GB"/>
                <w14:ligatures w14:val="standardContextual"/>
              </w:rPr>
              <w:tab/>
            </w:r>
            <w:r w:rsidRPr="00A761E7">
              <w:rPr>
                <w:rStyle w:val="Hyperlink"/>
                <w:rFonts w:eastAsia="Times New Roman"/>
                <w:noProof/>
              </w:rPr>
              <w:t>High risk activities</w:t>
            </w:r>
            <w:r>
              <w:rPr>
                <w:noProof/>
                <w:webHidden/>
              </w:rPr>
              <w:tab/>
            </w:r>
            <w:r>
              <w:rPr>
                <w:noProof/>
                <w:webHidden/>
              </w:rPr>
              <w:fldChar w:fldCharType="begin"/>
            </w:r>
            <w:r>
              <w:rPr>
                <w:noProof/>
                <w:webHidden/>
              </w:rPr>
              <w:instrText xml:space="preserve"> PAGEREF _Toc193716128 \h </w:instrText>
            </w:r>
            <w:r>
              <w:rPr>
                <w:noProof/>
                <w:webHidden/>
              </w:rPr>
            </w:r>
            <w:r>
              <w:rPr>
                <w:noProof/>
                <w:webHidden/>
              </w:rPr>
              <w:fldChar w:fldCharType="separate"/>
            </w:r>
            <w:r>
              <w:rPr>
                <w:noProof/>
                <w:webHidden/>
              </w:rPr>
              <w:t>11</w:t>
            </w:r>
            <w:r>
              <w:rPr>
                <w:noProof/>
                <w:webHidden/>
              </w:rPr>
              <w:fldChar w:fldCharType="end"/>
            </w:r>
          </w:hyperlink>
        </w:p>
        <w:p w14:paraId="0829C0FF" w14:textId="7DDCEDF8" w:rsidR="005A69B7" w:rsidRDefault="005A69B7">
          <w:pPr>
            <w:pStyle w:val="TOC1"/>
            <w:tabs>
              <w:tab w:val="left" w:pos="480"/>
              <w:tab w:val="right" w:leader="dot" w:pos="10212"/>
            </w:tabs>
            <w:rPr>
              <w:noProof/>
              <w:kern w:val="2"/>
              <w:lang w:eastAsia="en-GB"/>
              <w14:ligatures w14:val="standardContextual"/>
            </w:rPr>
          </w:pPr>
          <w:hyperlink w:anchor="_Toc193716129" w:history="1">
            <w:r w:rsidRPr="00A761E7">
              <w:rPr>
                <w:rStyle w:val="Hyperlink"/>
                <w:rFonts w:eastAsia="Times New Roman"/>
                <w:noProof/>
              </w:rPr>
              <w:t>5.</w:t>
            </w:r>
            <w:r>
              <w:rPr>
                <w:noProof/>
                <w:kern w:val="2"/>
                <w:lang w:eastAsia="en-GB"/>
                <w14:ligatures w14:val="standardContextual"/>
              </w:rPr>
              <w:tab/>
            </w:r>
            <w:r w:rsidRPr="00A761E7">
              <w:rPr>
                <w:rStyle w:val="Hyperlink"/>
                <w:rFonts w:eastAsia="Times New Roman"/>
                <w:noProof/>
              </w:rPr>
              <w:t>Next steps if objective may not be achieved</w:t>
            </w:r>
            <w:r>
              <w:rPr>
                <w:noProof/>
                <w:webHidden/>
              </w:rPr>
              <w:tab/>
            </w:r>
            <w:r>
              <w:rPr>
                <w:noProof/>
                <w:webHidden/>
              </w:rPr>
              <w:fldChar w:fldCharType="begin"/>
            </w:r>
            <w:r>
              <w:rPr>
                <w:noProof/>
                <w:webHidden/>
              </w:rPr>
              <w:instrText xml:space="preserve"> PAGEREF _Toc193716129 \h </w:instrText>
            </w:r>
            <w:r>
              <w:rPr>
                <w:noProof/>
                <w:webHidden/>
              </w:rPr>
            </w:r>
            <w:r>
              <w:rPr>
                <w:noProof/>
                <w:webHidden/>
              </w:rPr>
              <w:fldChar w:fldCharType="separate"/>
            </w:r>
            <w:r>
              <w:rPr>
                <w:noProof/>
                <w:webHidden/>
              </w:rPr>
              <w:t>12</w:t>
            </w:r>
            <w:r>
              <w:rPr>
                <w:noProof/>
                <w:webHidden/>
              </w:rPr>
              <w:fldChar w:fldCharType="end"/>
            </w:r>
          </w:hyperlink>
        </w:p>
        <w:p w14:paraId="44DD9B0D" w14:textId="5F47B64D" w:rsidR="005A69B7" w:rsidRDefault="005A69B7">
          <w:pPr>
            <w:pStyle w:val="TOC2"/>
            <w:tabs>
              <w:tab w:val="left" w:pos="960"/>
              <w:tab w:val="right" w:leader="dot" w:pos="10212"/>
            </w:tabs>
            <w:rPr>
              <w:noProof/>
              <w:kern w:val="2"/>
              <w:lang w:eastAsia="en-GB"/>
              <w14:ligatures w14:val="standardContextual"/>
            </w:rPr>
          </w:pPr>
          <w:hyperlink w:anchor="_Toc193716130" w:history="1">
            <w:r w:rsidRPr="00A761E7">
              <w:rPr>
                <w:rStyle w:val="Hyperlink"/>
                <w:rFonts w:eastAsia="Times New Roman"/>
                <w:noProof/>
              </w:rPr>
              <w:t>5.1</w:t>
            </w:r>
            <w:r>
              <w:rPr>
                <w:noProof/>
                <w:kern w:val="2"/>
                <w:lang w:eastAsia="en-GB"/>
                <w14:ligatures w14:val="standardContextual"/>
              </w:rPr>
              <w:tab/>
            </w:r>
            <w:r w:rsidRPr="00A761E7">
              <w:rPr>
                <w:rStyle w:val="Hyperlink"/>
                <w:rFonts w:eastAsia="Times New Roman"/>
                <w:noProof/>
              </w:rPr>
              <w:t>Scenarios where SEPA will consider exemption from meeting objective 1 to control inputs of groundwater hazardous substances</w:t>
            </w:r>
            <w:r>
              <w:rPr>
                <w:noProof/>
                <w:webHidden/>
              </w:rPr>
              <w:tab/>
            </w:r>
            <w:r>
              <w:rPr>
                <w:noProof/>
                <w:webHidden/>
              </w:rPr>
              <w:fldChar w:fldCharType="begin"/>
            </w:r>
            <w:r>
              <w:rPr>
                <w:noProof/>
                <w:webHidden/>
              </w:rPr>
              <w:instrText xml:space="preserve"> PAGEREF _Toc193716130 \h </w:instrText>
            </w:r>
            <w:r>
              <w:rPr>
                <w:noProof/>
                <w:webHidden/>
              </w:rPr>
            </w:r>
            <w:r>
              <w:rPr>
                <w:noProof/>
                <w:webHidden/>
              </w:rPr>
              <w:fldChar w:fldCharType="separate"/>
            </w:r>
            <w:r>
              <w:rPr>
                <w:noProof/>
                <w:webHidden/>
              </w:rPr>
              <w:t>13</w:t>
            </w:r>
            <w:r>
              <w:rPr>
                <w:noProof/>
                <w:webHidden/>
              </w:rPr>
              <w:fldChar w:fldCharType="end"/>
            </w:r>
          </w:hyperlink>
        </w:p>
        <w:p w14:paraId="04922635" w14:textId="789955F8" w:rsidR="005A69B7" w:rsidRDefault="005A69B7">
          <w:pPr>
            <w:pStyle w:val="TOC3"/>
            <w:tabs>
              <w:tab w:val="right" w:leader="dot" w:pos="10212"/>
            </w:tabs>
            <w:rPr>
              <w:noProof/>
              <w:kern w:val="2"/>
              <w:lang w:eastAsia="en-GB"/>
              <w14:ligatures w14:val="standardContextual"/>
            </w:rPr>
          </w:pPr>
          <w:hyperlink w:anchor="_Toc193716131" w:history="1">
            <w:r w:rsidRPr="00A761E7">
              <w:rPr>
                <w:rStyle w:val="Hyperlink"/>
                <w:rFonts w:eastAsia="Times New Roman"/>
                <w:noProof/>
                <w:lang w:eastAsia="en-GB"/>
              </w:rPr>
              <w:t>5.1.1 Inputs from historical land contamination</w:t>
            </w:r>
            <w:r>
              <w:rPr>
                <w:noProof/>
                <w:webHidden/>
              </w:rPr>
              <w:tab/>
            </w:r>
            <w:r>
              <w:rPr>
                <w:noProof/>
                <w:webHidden/>
              </w:rPr>
              <w:fldChar w:fldCharType="begin"/>
            </w:r>
            <w:r>
              <w:rPr>
                <w:noProof/>
                <w:webHidden/>
              </w:rPr>
              <w:instrText xml:space="preserve"> PAGEREF _Toc193716131 \h </w:instrText>
            </w:r>
            <w:r>
              <w:rPr>
                <w:noProof/>
                <w:webHidden/>
              </w:rPr>
            </w:r>
            <w:r>
              <w:rPr>
                <w:noProof/>
                <w:webHidden/>
              </w:rPr>
              <w:fldChar w:fldCharType="separate"/>
            </w:r>
            <w:r>
              <w:rPr>
                <w:noProof/>
                <w:webHidden/>
              </w:rPr>
              <w:t>13</w:t>
            </w:r>
            <w:r>
              <w:rPr>
                <w:noProof/>
                <w:webHidden/>
              </w:rPr>
              <w:fldChar w:fldCharType="end"/>
            </w:r>
          </w:hyperlink>
        </w:p>
        <w:p w14:paraId="75D0629E" w14:textId="4DE0E222" w:rsidR="005A69B7" w:rsidRDefault="005A69B7">
          <w:pPr>
            <w:pStyle w:val="TOC3"/>
            <w:tabs>
              <w:tab w:val="right" w:leader="dot" w:pos="10212"/>
            </w:tabs>
            <w:rPr>
              <w:noProof/>
              <w:kern w:val="2"/>
              <w:lang w:eastAsia="en-GB"/>
              <w14:ligatures w14:val="standardContextual"/>
            </w:rPr>
          </w:pPr>
          <w:hyperlink w:anchor="_Toc193716132" w:history="1">
            <w:r w:rsidRPr="00A761E7">
              <w:rPr>
                <w:rStyle w:val="Hyperlink"/>
                <w:rFonts w:eastAsia="Times New Roman"/>
                <w:noProof/>
                <w:lang w:eastAsia="en-GB"/>
              </w:rPr>
              <w:t>5.1.2 Inputs from current and new activities</w:t>
            </w:r>
            <w:r>
              <w:rPr>
                <w:noProof/>
                <w:webHidden/>
              </w:rPr>
              <w:tab/>
            </w:r>
            <w:r>
              <w:rPr>
                <w:noProof/>
                <w:webHidden/>
              </w:rPr>
              <w:fldChar w:fldCharType="begin"/>
            </w:r>
            <w:r>
              <w:rPr>
                <w:noProof/>
                <w:webHidden/>
              </w:rPr>
              <w:instrText xml:space="preserve"> PAGEREF _Toc193716132 \h </w:instrText>
            </w:r>
            <w:r>
              <w:rPr>
                <w:noProof/>
                <w:webHidden/>
              </w:rPr>
            </w:r>
            <w:r>
              <w:rPr>
                <w:noProof/>
                <w:webHidden/>
              </w:rPr>
              <w:fldChar w:fldCharType="separate"/>
            </w:r>
            <w:r>
              <w:rPr>
                <w:noProof/>
                <w:webHidden/>
              </w:rPr>
              <w:t>14</w:t>
            </w:r>
            <w:r>
              <w:rPr>
                <w:noProof/>
                <w:webHidden/>
              </w:rPr>
              <w:fldChar w:fldCharType="end"/>
            </w:r>
          </w:hyperlink>
        </w:p>
        <w:p w14:paraId="56643D69" w14:textId="3131D5A2" w:rsidR="005A69B7" w:rsidRDefault="005A69B7">
          <w:pPr>
            <w:pStyle w:val="TOC2"/>
            <w:tabs>
              <w:tab w:val="left" w:pos="960"/>
              <w:tab w:val="right" w:leader="dot" w:pos="10212"/>
            </w:tabs>
            <w:rPr>
              <w:noProof/>
              <w:kern w:val="2"/>
              <w:lang w:eastAsia="en-GB"/>
              <w14:ligatures w14:val="standardContextual"/>
            </w:rPr>
          </w:pPr>
          <w:hyperlink w:anchor="_Toc193716133" w:history="1">
            <w:r w:rsidRPr="00A761E7">
              <w:rPr>
                <w:rStyle w:val="Hyperlink"/>
                <w:rFonts w:eastAsia="Times New Roman"/>
                <w:noProof/>
              </w:rPr>
              <w:t>5.2</w:t>
            </w:r>
            <w:r>
              <w:rPr>
                <w:noProof/>
                <w:kern w:val="2"/>
                <w:lang w:eastAsia="en-GB"/>
                <w14:ligatures w14:val="standardContextual"/>
              </w:rPr>
              <w:tab/>
            </w:r>
            <w:r w:rsidRPr="00A761E7">
              <w:rPr>
                <w:rStyle w:val="Hyperlink"/>
                <w:rFonts w:eastAsia="Times New Roman"/>
                <w:noProof/>
              </w:rPr>
              <w:t>Scenarios where SEPA will consider exemption from meeting objective 2 to limit input of non-hazardous substances</w:t>
            </w:r>
            <w:r>
              <w:rPr>
                <w:noProof/>
                <w:webHidden/>
              </w:rPr>
              <w:tab/>
            </w:r>
            <w:r>
              <w:rPr>
                <w:noProof/>
                <w:webHidden/>
              </w:rPr>
              <w:fldChar w:fldCharType="begin"/>
            </w:r>
            <w:r>
              <w:rPr>
                <w:noProof/>
                <w:webHidden/>
              </w:rPr>
              <w:instrText xml:space="preserve"> PAGEREF _Toc193716133 \h </w:instrText>
            </w:r>
            <w:r>
              <w:rPr>
                <w:noProof/>
                <w:webHidden/>
              </w:rPr>
            </w:r>
            <w:r>
              <w:rPr>
                <w:noProof/>
                <w:webHidden/>
              </w:rPr>
              <w:fldChar w:fldCharType="separate"/>
            </w:r>
            <w:r>
              <w:rPr>
                <w:noProof/>
                <w:webHidden/>
              </w:rPr>
              <w:t>14</w:t>
            </w:r>
            <w:r>
              <w:rPr>
                <w:noProof/>
                <w:webHidden/>
              </w:rPr>
              <w:fldChar w:fldCharType="end"/>
            </w:r>
          </w:hyperlink>
        </w:p>
        <w:p w14:paraId="5E94C247" w14:textId="1CDED734" w:rsidR="005A69B7" w:rsidRDefault="005A69B7">
          <w:pPr>
            <w:pStyle w:val="TOC3"/>
            <w:tabs>
              <w:tab w:val="right" w:leader="dot" w:pos="10212"/>
            </w:tabs>
            <w:rPr>
              <w:noProof/>
              <w:kern w:val="2"/>
              <w:lang w:eastAsia="en-GB"/>
              <w14:ligatures w14:val="standardContextual"/>
            </w:rPr>
          </w:pPr>
          <w:hyperlink w:anchor="_Toc193716134" w:history="1">
            <w:r w:rsidRPr="00A761E7">
              <w:rPr>
                <w:rStyle w:val="Hyperlink"/>
                <w:rFonts w:eastAsia="Times New Roman"/>
                <w:noProof/>
                <w:lang w:eastAsia="en-GB"/>
              </w:rPr>
              <w:t>5.2.1 Inputs from historical land contamination</w:t>
            </w:r>
            <w:r>
              <w:rPr>
                <w:noProof/>
                <w:webHidden/>
              </w:rPr>
              <w:tab/>
            </w:r>
            <w:r>
              <w:rPr>
                <w:noProof/>
                <w:webHidden/>
              </w:rPr>
              <w:fldChar w:fldCharType="begin"/>
            </w:r>
            <w:r>
              <w:rPr>
                <w:noProof/>
                <w:webHidden/>
              </w:rPr>
              <w:instrText xml:space="preserve"> PAGEREF _Toc193716134 \h </w:instrText>
            </w:r>
            <w:r>
              <w:rPr>
                <w:noProof/>
                <w:webHidden/>
              </w:rPr>
            </w:r>
            <w:r>
              <w:rPr>
                <w:noProof/>
                <w:webHidden/>
              </w:rPr>
              <w:fldChar w:fldCharType="separate"/>
            </w:r>
            <w:r>
              <w:rPr>
                <w:noProof/>
                <w:webHidden/>
              </w:rPr>
              <w:t>14</w:t>
            </w:r>
            <w:r>
              <w:rPr>
                <w:noProof/>
                <w:webHidden/>
              </w:rPr>
              <w:fldChar w:fldCharType="end"/>
            </w:r>
          </w:hyperlink>
        </w:p>
        <w:p w14:paraId="0BEE1588" w14:textId="5144BF6D" w:rsidR="005A69B7" w:rsidRDefault="005A69B7">
          <w:pPr>
            <w:pStyle w:val="TOC3"/>
            <w:tabs>
              <w:tab w:val="right" w:leader="dot" w:pos="10212"/>
            </w:tabs>
            <w:rPr>
              <w:noProof/>
              <w:kern w:val="2"/>
              <w:lang w:eastAsia="en-GB"/>
              <w14:ligatures w14:val="standardContextual"/>
            </w:rPr>
          </w:pPr>
          <w:hyperlink w:anchor="_Toc193716135" w:history="1">
            <w:r w:rsidRPr="00A761E7">
              <w:rPr>
                <w:rStyle w:val="Hyperlink"/>
                <w:rFonts w:eastAsia="Times New Roman"/>
                <w:noProof/>
                <w:lang w:eastAsia="en-GB"/>
              </w:rPr>
              <w:t>5.2.2 Inputs from current and new activities</w:t>
            </w:r>
            <w:r>
              <w:rPr>
                <w:noProof/>
                <w:webHidden/>
              </w:rPr>
              <w:tab/>
            </w:r>
            <w:r>
              <w:rPr>
                <w:noProof/>
                <w:webHidden/>
              </w:rPr>
              <w:fldChar w:fldCharType="begin"/>
            </w:r>
            <w:r>
              <w:rPr>
                <w:noProof/>
                <w:webHidden/>
              </w:rPr>
              <w:instrText xml:space="preserve"> PAGEREF _Toc193716135 \h </w:instrText>
            </w:r>
            <w:r>
              <w:rPr>
                <w:noProof/>
                <w:webHidden/>
              </w:rPr>
            </w:r>
            <w:r>
              <w:rPr>
                <w:noProof/>
                <w:webHidden/>
              </w:rPr>
              <w:fldChar w:fldCharType="separate"/>
            </w:r>
            <w:r>
              <w:rPr>
                <w:noProof/>
                <w:webHidden/>
              </w:rPr>
              <w:t>15</w:t>
            </w:r>
            <w:r>
              <w:rPr>
                <w:noProof/>
                <w:webHidden/>
              </w:rPr>
              <w:fldChar w:fldCharType="end"/>
            </w:r>
          </w:hyperlink>
        </w:p>
        <w:p w14:paraId="47BCBFEC" w14:textId="4B14CA86" w:rsidR="005A69B7" w:rsidRDefault="005A69B7">
          <w:pPr>
            <w:pStyle w:val="TOC2"/>
            <w:tabs>
              <w:tab w:val="left" w:pos="960"/>
              <w:tab w:val="right" w:leader="dot" w:pos="10212"/>
            </w:tabs>
            <w:rPr>
              <w:noProof/>
              <w:kern w:val="2"/>
              <w:lang w:eastAsia="en-GB"/>
              <w14:ligatures w14:val="standardContextual"/>
            </w:rPr>
          </w:pPr>
          <w:hyperlink w:anchor="_Toc193716136" w:history="1">
            <w:r w:rsidRPr="00A761E7">
              <w:rPr>
                <w:rStyle w:val="Hyperlink"/>
                <w:rFonts w:eastAsia="Times New Roman"/>
                <w:noProof/>
              </w:rPr>
              <w:t>5.3</w:t>
            </w:r>
            <w:r>
              <w:rPr>
                <w:noProof/>
                <w:kern w:val="2"/>
                <w:lang w:eastAsia="en-GB"/>
                <w14:ligatures w14:val="standardContextual"/>
              </w:rPr>
              <w:tab/>
            </w:r>
            <w:r w:rsidRPr="00A761E7">
              <w:rPr>
                <w:rStyle w:val="Hyperlink"/>
                <w:rFonts w:eastAsia="Times New Roman"/>
                <w:noProof/>
              </w:rPr>
              <w:t>Scenarios where SEPA may consider exemption from meeting objective 3 to prevent deterioration in status</w:t>
            </w:r>
            <w:r>
              <w:rPr>
                <w:noProof/>
                <w:webHidden/>
              </w:rPr>
              <w:tab/>
            </w:r>
            <w:r>
              <w:rPr>
                <w:noProof/>
                <w:webHidden/>
              </w:rPr>
              <w:fldChar w:fldCharType="begin"/>
            </w:r>
            <w:r>
              <w:rPr>
                <w:noProof/>
                <w:webHidden/>
              </w:rPr>
              <w:instrText xml:space="preserve"> PAGEREF _Toc193716136 \h </w:instrText>
            </w:r>
            <w:r>
              <w:rPr>
                <w:noProof/>
                <w:webHidden/>
              </w:rPr>
            </w:r>
            <w:r>
              <w:rPr>
                <w:noProof/>
                <w:webHidden/>
              </w:rPr>
              <w:fldChar w:fldCharType="separate"/>
            </w:r>
            <w:r>
              <w:rPr>
                <w:noProof/>
                <w:webHidden/>
              </w:rPr>
              <w:t>15</w:t>
            </w:r>
            <w:r>
              <w:rPr>
                <w:noProof/>
                <w:webHidden/>
              </w:rPr>
              <w:fldChar w:fldCharType="end"/>
            </w:r>
          </w:hyperlink>
        </w:p>
        <w:p w14:paraId="2F1B9F72" w14:textId="70E42BC6" w:rsidR="005A69B7" w:rsidRDefault="005A69B7">
          <w:pPr>
            <w:pStyle w:val="TOC2"/>
            <w:tabs>
              <w:tab w:val="left" w:pos="960"/>
              <w:tab w:val="right" w:leader="dot" w:pos="10212"/>
            </w:tabs>
            <w:rPr>
              <w:noProof/>
              <w:kern w:val="2"/>
              <w:lang w:eastAsia="en-GB"/>
              <w14:ligatures w14:val="standardContextual"/>
            </w:rPr>
          </w:pPr>
          <w:hyperlink w:anchor="_Toc193716137" w:history="1">
            <w:r w:rsidRPr="00A761E7">
              <w:rPr>
                <w:rStyle w:val="Hyperlink"/>
                <w:rFonts w:eastAsia="Times New Roman"/>
                <w:noProof/>
              </w:rPr>
              <w:t>5.4</w:t>
            </w:r>
            <w:r>
              <w:rPr>
                <w:noProof/>
                <w:kern w:val="2"/>
                <w:lang w:eastAsia="en-GB"/>
                <w14:ligatures w14:val="standardContextual"/>
              </w:rPr>
              <w:tab/>
            </w:r>
            <w:r w:rsidRPr="00A761E7">
              <w:rPr>
                <w:rStyle w:val="Hyperlink"/>
                <w:rFonts w:eastAsia="Times New Roman"/>
                <w:noProof/>
              </w:rPr>
              <w:t>Scenarios for where SEPA may consider exemption from meeting objective 4 to return groundwater bodies to good status</w:t>
            </w:r>
            <w:r>
              <w:rPr>
                <w:noProof/>
                <w:webHidden/>
              </w:rPr>
              <w:tab/>
            </w:r>
            <w:r>
              <w:rPr>
                <w:noProof/>
                <w:webHidden/>
              </w:rPr>
              <w:fldChar w:fldCharType="begin"/>
            </w:r>
            <w:r>
              <w:rPr>
                <w:noProof/>
                <w:webHidden/>
              </w:rPr>
              <w:instrText xml:space="preserve"> PAGEREF _Toc193716137 \h </w:instrText>
            </w:r>
            <w:r>
              <w:rPr>
                <w:noProof/>
                <w:webHidden/>
              </w:rPr>
            </w:r>
            <w:r>
              <w:rPr>
                <w:noProof/>
                <w:webHidden/>
              </w:rPr>
              <w:fldChar w:fldCharType="separate"/>
            </w:r>
            <w:r>
              <w:rPr>
                <w:noProof/>
                <w:webHidden/>
              </w:rPr>
              <w:t>15</w:t>
            </w:r>
            <w:r>
              <w:rPr>
                <w:noProof/>
                <w:webHidden/>
              </w:rPr>
              <w:fldChar w:fldCharType="end"/>
            </w:r>
          </w:hyperlink>
        </w:p>
        <w:p w14:paraId="51C0A2AB" w14:textId="7ADFC2AC" w:rsidR="005A69B7" w:rsidRDefault="005A69B7">
          <w:pPr>
            <w:pStyle w:val="TOC3"/>
            <w:tabs>
              <w:tab w:val="right" w:leader="dot" w:pos="10212"/>
            </w:tabs>
            <w:rPr>
              <w:noProof/>
              <w:kern w:val="2"/>
              <w:lang w:eastAsia="en-GB"/>
              <w14:ligatures w14:val="standardContextual"/>
            </w:rPr>
          </w:pPr>
          <w:hyperlink w:anchor="_Toc193716138" w:history="1">
            <w:r w:rsidRPr="00A761E7">
              <w:rPr>
                <w:rStyle w:val="Hyperlink"/>
                <w:rFonts w:eastAsia="Times New Roman"/>
                <w:noProof/>
                <w:lang w:eastAsia="en-GB"/>
              </w:rPr>
              <w:t>5.4.1 Inputs from historical land contamination</w:t>
            </w:r>
            <w:r>
              <w:rPr>
                <w:noProof/>
                <w:webHidden/>
              </w:rPr>
              <w:tab/>
            </w:r>
            <w:r>
              <w:rPr>
                <w:noProof/>
                <w:webHidden/>
              </w:rPr>
              <w:fldChar w:fldCharType="begin"/>
            </w:r>
            <w:r>
              <w:rPr>
                <w:noProof/>
                <w:webHidden/>
              </w:rPr>
              <w:instrText xml:space="preserve"> PAGEREF _Toc193716138 \h </w:instrText>
            </w:r>
            <w:r>
              <w:rPr>
                <w:noProof/>
                <w:webHidden/>
              </w:rPr>
            </w:r>
            <w:r>
              <w:rPr>
                <w:noProof/>
                <w:webHidden/>
              </w:rPr>
              <w:fldChar w:fldCharType="separate"/>
            </w:r>
            <w:r>
              <w:rPr>
                <w:noProof/>
                <w:webHidden/>
              </w:rPr>
              <w:t>15</w:t>
            </w:r>
            <w:r>
              <w:rPr>
                <w:noProof/>
                <w:webHidden/>
              </w:rPr>
              <w:fldChar w:fldCharType="end"/>
            </w:r>
          </w:hyperlink>
        </w:p>
        <w:p w14:paraId="662D542F" w14:textId="16ECD334" w:rsidR="005A69B7" w:rsidRDefault="005A69B7">
          <w:pPr>
            <w:pStyle w:val="TOC3"/>
            <w:tabs>
              <w:tab w:val="right" w:leader="dot" w:pos="10212"/>
            </w:tabs>
            <w:rPr>
              <w:noProof/>
              <w:kern w:val="2"/>
              <w:lang w:eastAsia="en-GB"/>
              <w14:ligatures w14:val="standardContextual"/>
            </w:rPr>
          </w:pPr>
          <w:hyperlink w:anchor="_Toc193716139" w:history="1">
            <w:r w:rsidRPr="00A761E7">
              <w:rPr>
                <w:rStyle w:val="Hyperlink"/>
                <w:rFonts w:eastAsia="Times New Roman"/>
                <w:noProof/>
                <w:lang w:eastAsia="en-GB"/>
              </w:rPr>
              <w:t>5.4.2 Inputs from current and new activities</w:t>
            </w:r>
            <w:r>
              <w:rPr>
                <w:noProof/>
                <w:webHidden/>
              </w:rPr>
              <w:tab/>
            </w:r>
            <w:r>
              <w:rPr>
                <w:noProof/>
                <w:webHidden/>
              </w:rPr>
              <w:fldChar w:fldCharType="begin"/>
            </w:r>
            <w:r>
              <w:rPr>
                <w:noProof/>
                <w:webHidden/>
              </w:rPr>
              <w:instrText xml:space="preserve"> PAGEREF _Toc193716139 \h </w:instrText>
            </w:r>
            <w:r>
              <w:rPr>
                <w:noProof/>
                <w:webHidden/>
              </w:rPr>
            </w:r>
            <w:r>
              <w:rPr>
                <w:noProof/>
                <w:webHidden/>
              </w:rPr>
              <w:fldChar w:fldCharType="separate"/>
            </w:r>
            <w:r>
              <w:rPr>
                <w:noProof/>
                <w:webHidden/>
              </w:rPr>
              <w:t>16</w:t>
            </w:r>
            <w:r>
              <w:rPr>
                <w:noProof/>
                <w:webHidden/>
              </w:rPr>
              <w:fldChar w:fldCharType="end"/>
            </w:r>
          </w:hyperlink>
        </w:p>
        <w:p w14:paraId="740375A6" w14:textId="62567968" w:rsidR="005A69B7" w:rsidRDefault="005A69B7">
          <w:pPr>
            <w:pStyle w:val="TOC2"/>
            <w:tabs>
              <w:tab w:val="left" w:pos="960"/>
              <w:tab w:val="right" w:leader="dot" w:pos="10212"/>
            </w:tabs>
            <w:rPr>
              <w:noProof/>
              <w:kern w:val="2"/>
              <w:lang w:eastAsia="en-GB"/>
              <w14:ligatures w14:val="standardContextual"/>
            </w:rPr>
          </w:pPr>
          <w:hyperlink w:anchor="_Toc193716140" w:history="1">
            <w:r w:rsidRPr="00A761E7">
              <w:rPr>
                <w:rStyle w:val="Hyperlink"/>
                <w:rFonts w:eastAsia="Times New Roman"/>
                <w:noProof/>
              </w:rPr>
              <w:t>5.5</w:t>
            </w:r>
            <w:r>
              <w:rPr>
                <w:noProof/>
                <w:kern w:val="2"/>
                <w:lang w:eastAsia="en-GB"/>
                <w14:ligatures w14:val="standardContextual"/>
              </w:rPr>
              <w:tab/>
            </w:r>
            <w:r w:rsidRPr="00A761E7">
              <w:rPr>
                <w:rStyle w:val="Hyperlink"/>
                <w:rFonts w:eastAsia="Times New Roman"/>
                <w:noProof/>
              </w:rPr>
              <w:t>Scenarios for where SEPA may consider exemption from meeting objective 5 to prevent direct discharges</w:t>
            </w:r>
            <w:r>
              <w:rPr>
                <w:noProof/>
                <w:webHidden/>
              </w:rPr>
              <w:tab/>
            </w:r>
            <w:r>
              <w:rPr>
                <w:noProof/>
                <w:webHidden/>
              </w:rPr>
              <w:fldChar w:fldCharType="begin"/>
            </w:r>
            <w:r>
              <w:rPr>
                <w:noProof/>
                <w:webHidden/>
              </w:rPr>
              <w:instrText xml:space="preserve"> PAGEREF _Toc193716140 \h </w:instrText>
            </w:r>
            <w:r>
              <w:rPr>
                <w:noProof/>
                <w:webHidden/>
              </w:rPr>
            </w:r>
            <w:r>
              <w:rPr>
                <w:noProof/>
                <w:webHidden/>
              </w:rPr>
              <w:fldChar w:fldCharType="separate"/>
            </w:r>
            <w:r>
              <w:rPr>
                <w:noProof/>
                <w:webHidden/>
              </w:rPr>
              <w:t>16</w:t>
            </w:r>
            <w:r>
              <w:rPr>
                <w:noProof/>
                <w:webHidden/>
              </w:rPr>
              <w:fldChar w:fldCharType="end"/>
            </w:r>
          </w:hyperlink>
        </w:p>
        <w:p w14:paraId="43C554B2" w14:textId="5A09525B" w:rsidR="005A69B7" w:rsidRDefault="005A69B7">
          <w:pPr>
            <w:pStyle w:val="TOC3"/>
            <w:tabs>
              <w:tab w:val="right" w:leader="dot" w:pos="10212"/>
            </w:tabs>
            <w:rPr>
              <w:noProof/>
              <w:kern w:val="2"/>
              <w:lang w:eastAsia="en-GB"/>
              <w14:ligatures w14:val="standardContextual"/>
            </w:rPr>
          </w:pPr>
          <w:hyperlink w:anchor="_Toc193716141" w:history="1">
            <w:r w:rsidRPr="00A761E7">
              <w:rPr>
                <w:rStyle w:val="Hyperlink"/>
                <w:rFonts w:eastAsia="Times New Roman"/>
                <w:noProof/>
                <w:lang w:eastAsia="en-GB"/>
              </w:rPr>
              <w:t>5.5.1 Inputs from historical land contamination</w:t>
            </w:r>
            <w:r>
              <w:rPr>
                <w:noProof/>
                <w:webHidden/>
              </w:rPr>
              <w:tab/>
            </w:r>
            <w:r>
              <w:rPr>
                <w:noProof/>
                <w:webHidden/>
              </w:rPr>
              <w:fldChar w:fldCharType="begin"/>
            </w:r>
            <w:r>
              <w:rPr>
                <w:noProof/>
                <w:webHidden/>
              </w:rPr>
              <w:instrText xml:space="preserve"> PAGEREF _Toc193716141 \h </w:instrText>
            </w:r>
            <w:r>
              <w:rPr>
                <w:noProof/>
                <w:webHidden/>
              </w:rPr>
            </w:r>
            <w:r>
              <w:rPr>
                <w:noProof/>
                <w:webHidden/>
              </w:rPr>
              <w:fldChar w:fldCharType="separate"/>
            </w:r>
            <w:r>
              <w:rPr>
                <w:noProof/>
                <w:webHidden/>
              </w:rPr>
              <w:t>16</w:t>
            </w:r>
            <w:r>
              <w:rPr>
                <w:noProof/>
                <w:webHidden/>
              </w:rPr>
              <w:fldChar w:fldCharType="end"/>
            </w:r>
          </w:hyperlink>
        </w:p>
        <w:p w14:paraId="044F0004" w14:textId="38DAB089" w:rsidR="005A69B7" w:rsidRDefault="005A69B7">
          <w:pPr>
            <w:pStyle w:val="TOC3"/>
            <w:tabs>
              <w:tab w:val="right" w:leader="dot" w:pos="10212"/>
            </w:tabs>
            <w:rPr>
              <w:noProof/>
              <w:kern w:val="2"/>
              <w:lang w:eastAsia="en-GB"/>
              <w14:ligatures w14:val="standardContextual"/>
            </w:rPr>
          </w:pPr>
          <w:hyperlink w:anchor="_Toc193716142" w:history="1">
            <w:r w:rsidRPr="00A761E7">
              <w:rPr>
                <w:rStyle w:val="Hyperlink"/>
                <w:rFonts w:eastAsia="Times New Roman"/>
                <w:noProof/>
                <w:lang w:eastAsia="en-GB"/>
              </w:rPr>
              <w:t>5.5.2 Inputs from current and new activities</w:t>
            </w:r>
            <w:r>
              <w:rPr>
                <w:noProof/>
                <w:webHidden/>
              </w:rPr>
              <w:tab/>
            </w:r>
            <w:r>
              <w:rPr>
                <w:noProof/>
                <w:webHidden/>
              </w:rPr>
              <w:fldChar w:fldCharType="begin"/>
            </w:r>
            <w:r>
              <w:rPr>
                <w:noProof/>
                <w:webHidden/>
              </w:rPr>
              <w:instrText xml:space="preserve"> PAGEREF _Toc193716142 \h </w:instrText>
            </w:r>
            <w:r>
              <w:rPr>
                <w:noProof/>
                <w:webHidden/>
              </w:rPr>
            </w:r>
            <w:r>
              <w:rPr>
                <w:noProof/>
                <w:webHidden/>
              </w:rPr>
              <w:fldChar w:fldCharType="separate"/>
            </w:r>
            <w:r>
              <w:rPr>
                <w:noProof/>
                <w:webHidden/>
              </w:rPr>
              <w:t>16</w:t>
            </w:r>
            <w:r>
              <w:rPr>
                <w:noProof/>
                <w:webHidden/>
              </w:rPr>
              <w:fldChar w:fldCharType="end"/>
            </w:r>
          </w:hyperlink>
        </w:p>
        <w:p w14:paraId="65C05AA4" w14:textId="314FCEB3" w:rsidR="005A69B7" w:rsidRDefault="005A69B7">
          <w:pPr>
            <w:pStyle w:val="TOC1"/>
            <w:tabs>
              <w:tab w:val="right" w:leader="dot" w:pos="10212"/>
            </w:tabs>
            <w:rPr>
              <w:noProof/>
              <w:kern w:val="2"/>
              <w:lang w:eastAsia="en-GB"/>
              <w14:ligatures w14:val="standardContextual"/>
            </w:rPr>
          </w:pPr>
          <w:hyperlink w:anchor="_Toc193716143" w:history="1">
            <w:r w:rsidRPr="00A761E7">
              <w:rPr>
                <w:rStyle w:val="Hyperlink"/>
                <w:rFonts w:eastAsia="Times New Roman"/>
                <w:noProof/>
              </w:rPr>
              <w:t>Annex 1 Background to the Groundwater Standards</w:t>
            </w:r>
            <w:r>
              <w:rPr>
                <w:noProof/>
                <w:webHidden/>
              </w:rPr>
              <w:tab/>
            </w:r>
            <w:r>
              <w:rPr>
                <w:noProof/>
                <w:webHidden/>
              </w:rPr>
              <w:fldChar w:fldCharType="begin"/>
            </w:r>
            <w:r>
              <w:rPr>
                <w:noProof/>
                <w:webHidden/>
              </w:rPr>
              <w:instrText xml:space="preserve"> PAGEREF _Toc193716143 \h </w:instrText>
            </w:r>
            <w:r>
              <w:rPr>
                <w:noProof/>
                <w:webHidden/>
              </w:rPr>
            </w:r>
            <w:r>
              <w:rPr>
                <w:noProof/>
                <w:webHidden/>
              </w:rPr>
              <w:fldChar w:fldCharType="separate"/>
            </w:r>
            <w:r>
              <w:rPr>
                <w:noProof/>
                <w:webHidden/>
              </w:rPr>
              <w:t>17</w:t>
            </w:r>
            <w:r>
              <w:rPr>
                <w:noProof/>
                <w:webHidden/>
              </w:rPr>
              <w:fldChar w:fldCharType="end"/>
            </w:r>
          </w:hyperlink>
        </w:p>
        <w:p w14:paraId="1F622078" w14:textId="3829E9DB" w:rsidR="005A69B7" w:rsidRDefault="005A69B7">
          <w:pPr>
            <w:pStyle w:val="TOC2"/>
            <w:tabs>
              <w:tab w:val="left" w:pos="960"/>
              <w:tab w:val="right" w:leader="dot" w:pos="10212"/>
            </w:tabs>
            <w:rPr>
              <w:noProof/>
              <w:kern w:val="2"/>
              <w:lang w:eastAsia="en-GB"/>
              <w14:ligatures w14:val="standardContextual"/>
            </w:rPr>
          </w:pPr>
          <w:hyperlink w:anchor="_Toc193716144" w:history="1">
            <w:r w:rsidRPr="00A761E7">
              <w:rPr>
                <w:rStyle w:val="Hyperlink"/>
                <w:rFonts w:eastAsia="Times New Roman"/>
                <w:noProof/>
              </w:rPr>
              <w:t>A1.1</w:t>
            </w:r>
            <w:r>
              <w:rPr>
                <w:noProof/>
                <w:kern w:val="2"/>
                <w:lang w:eastAsia="en-GB"/>
                <w14:ligatures w14:val="standardContextual"/>
              </w:rPr>
              <w:tab/>
            </w:r>
            <w:r w:rsidRPr="00A761E7">
              <w:rPr>
                <w:rStyle w:val="Hyperlink"/>
                <w:rFonts w:eastAsia="Times New Roman"/>
                <w:noProof/>
              </w:rPr>
              <w:t>What is groundwater?</w:t>
            </w:r>
            <w:r>
              <w:rPr>
                <w:noProof/>
                <w:webHidden/>
              </w:rPr>
              <w:tab/>
            </w:r>
            <w:r>
              <w:rPr>
                <w:noProof/>
                <w:webHidden/>
              </w:rPr>
              <w:fldChar w:fldCharType="begin"/>
            </w:r>
            <w:r>
              <w:rPr>
                <w:noProof/>
                <w:webHidden/>
              </w:rPr>
              <w:instrText xml:space="preserve"> PAGEREF _Toc193716144 \h </w:instrText>
            </w:r>
            <w:r>
              <w:rPr>
                <w:noProof/>
                <w:webHidden/>
              </w:rPr>
            </w:r>
            <w:r>
              <w:rPr>
                <w:noProof/>
                <w:webHidden/>
              </w:rPr>
              <w:fldChar w:fldCharType="separate"/>
            </w:r>
            <w:r>
              <w:rPr>
                <w:noProof/>
                <w:webHidden/>
              </w:rPr>
              <w:t>17</w:t>
            </w:r>
            <w:r>
              <w:rPr>
                <w:noProof/>
                <w:webHidden/>
              </w:rPr>
              <w:fldChar w:fldCharType="end"/>
            </w:r>
          </w:hyperlink>
        </w:p>
        <w:p w14:paraId="12845BBC" w14:textId="21DCA743" w:rsidR="005A69B7" w:rsidRDefault="005A69B7">
          <w:pPr>
            <w:pStyle w:val="TOC2"/>
            <w:tabs>
              <w:tab w:val="left" w:pos="960"/>
              <w:tab w:val="right" w:leader="dot" w:pos="10212"/>
            </w:tabs>
            <w:rPr>
              <w:noProof/>
              <w:kern w:val="2"/>
              <w:lang w:eastAsia="en-GB"/>
              <w14:ligatures w14:val="standardContextual"/>
            </w:rPr>
          </w:pPr>
          <w:hyperlink w:anchor="_Toc193716145" w:history="1">
            <w:r w:rsidRPr="00A761E7">
              <w:rPr>
                <w:rStyle w:val="Hyperlink"/>
                <w:rFonts w:eastAsia="Times New Roman"/>
                <w:noProof/>
              </w:rPr>
              <w:t>A1.2</w:t>
            </w:r>
            <w:r>
              <w:rPr>
                <w:noProof/>
                <w:kern w:val="2"/>
                <w:lang w:eastAsia="en-GB"/>
                <w14:ligatures w14:val="standardContextual"/>
              </w:rPr>
              <w:tab/>
            </w:r>
            <w:r w:rsidRPr="00A761E7">
              <w:rPr>
                <w:rStyle w:val="Hyperlink"/>
                <w:rFonts w:eastAsia="Times New Roman"/>
                <w:noProof/>
              </w:rPr>
              <w:t>What is groundwater resource potential?</w:t>
            </w:r>
            <w:r>
              <w:rPr>
                <w:noProof/>
                <w:webHidden/>
              </w:rPr>
              <w:tab/>
            </w:r>
            <w:r>
              <w:rPr>
                <w:noProof/>
                <w:webHidden/>
              </w:rPr>
              <w:fldChar w:fldCharType="begin"/>
            </w:r>
            <w:r>
              <w:rPr>
                <w:noProof/>
                <w:webHidden/>
              </w:rPr>
              <w:instrText xml:space="preserve"> PAGEREF _Toc193716145 \h </w:instrText>
            </w:r>
            <w:r>
              <w:rPr>
                <w:noProof/>
                <w:webHidden/>
              </w:rPr>
            </w:r>
            <w:r>
              <w:rPr>
                <w:noProof/>
                <w:webHidden/>
              </w:rPr>
              <w:fldChar w:fldCharType="separate"/>
            </w:r>
            <w:r>
              <w:rPr>
                <w:noProof/>
                <w:webHidden/>
              </w:rPr>
              <w:t>17</w:t>
            </w:r>
            <w:r>
              <w:rPr>
                <w:noProof/>
                <w:webHidden/>
              </w:rPr>
              <w:fldChar w:fldCharType="end"/>
            </w:r>
          </w:hyperlink>
        </w:p>
        <w:p w14:paraId="7AC0015A" w14:textId="279F867F" w:rsidR="005A69B7" w:rsidRDefault="005A69B7">
          <w:pPr>
            <w:pStyle w:val="TOC2"/>
            <w:tabs>
              <w:tab w:val="left" w:pos="960"/>
              <w:tab w:val="right" w:leader="dot" w:pos="10212"/>
            </w:tabs>
            <w:rPr>
              <w:noProof/>
              <w:kern w:val="2"/>
              <w:lang w:eastAsia="en-GB"/>
              <w14:ligatures w14:val="standardContextual"/>
            </w:rPr>
          </w:pPr>
          <w:hyperlink w:anchor="_Toc193716146" w:history="1">
            <w:r w:rsidRPr="00A761E7">
              <w:rPr>
                <w:rStyle w:val="Hyperlink"/>
                <w:rFonts w:eastAsia="Times New Roman"/>
                <w:noProof/>
              </w:rPr>
              <w:t>A1.3</w:t>
            </w:r>
            <w:r>
              <w:rPr>
                <w:noProof/>
                <w:kern w:val="2"/>
                <w:lang w:eastAsia="en-GB"/>
                <w14:ligatures w14:val="standardContextual"/>
              </w:rPr>
              <w:tab/>
            </w:r>
            <w:r w:rsidRPr="00A761E7">
              <w:rPr>
                <w:rStyle w:val="Hyperlink"/>
                <w:rFonts w:eastAsia="Times New Roman"/>
                <w:noProof/>
              </w:rPr>
              <w:t>What is a groundwater hazardous substance?</w:t>
            </w:r>
            <w:r>
              <w:rPr>
                <w:noProof/>
                <w:webHidden/>
              </w:rPr>
              <w:tab/>
            </w:r>
            <w:r>
              <w:rPr>
                <w:noProof/>
                <w:webHidden/>
              </w:rPr>
              <w:fldChar w:fldCharType="begin"/>
            </w:r>
            <w:r>
              <w:rPr>
                <w:noProof/>
                <w:webHidden/>
              </w:rPr>
              <w:instrText xml:space="preserve"> PAGEREF _Toc193716146 \h </w:instrText>
            </w:r>
            <w:r>
              <w:rPr>
                <w:noProof/>
                <w:webHidden/>
              </w:rPr>
            </w:r>
            <w:r>
              <w:rPr>
                <w:noProof/>
                <w:webHidden/>
              </w:rPr>
              <w:fldChar w:fldCharType="separate"/>
            </w:r>
            <w:r>
              <w:rPr>
                <w:noProof/>
                <w:webHidden/>
              </w:rPr>
              <w:t>18</w:t>
            </w:r>
            <w:r>
              <w:rPr>
                <w:noProof/>
                <w:webHidden/>
              </w:rPr>
              <w:fldChar w:fldCharType="end"/>
            </w:r>
          </w:hyperlink>
        </w:p>
        <w:p w14:paraId="3300D388" w14:textId="54B93379" w:rsidR="005A69B7" w:rsidRDefault="005A69B7">
          <w:pPr>
            <w:pStyle w:val="TOC2"/>
            <w:tabs>
              <w:tab w:val="left" w:pos="960"/>
              <w:tab w:val="right" w:leader="dot" w:pos="10212"/>
            </w:tabs>
            <w:rPr>
              <w:noProof/>
              <w:kern w:val="2"/>
              <w:lang w:eastAsia="en-GB"/>
              <w14:ligatures w14:val="standardContextual"/>
            </w:rPr>
          </w:pPr>
          <w:hyperlink w:anchor="_Toc193716147" w:history="1">
            <w:r w:rsidRPr="00A761E7">
              <w:rPr>
                <w:rStyle w:val="Hyperlink"/>
                <w:rFonts w:eastAsia="Times New Roman"/>
                <w:noProof/>
              </w:rPr>
              <w:t>A1.4</w:t>
            </w:r>
            <w:r>
              <w:rPr>
                <w:noProof/>
                <w:kern w:val="2"/>
                <w:lang w:eastAsia="en-GB"/>
                <w14:ligatures w14:val="standardContextual"/>
              </w:rPr>
              <w:tab/>
            </w:r>
            <w:r w:rsidRPr="00A761E7">
              <w:rPr>
                <w:rStyle w:val="Hyperlink"/>
                <w:rFonts w:eastAsia="Times New Roman"/>
                <w:noProof/>
              </w:rPr>
              <w:t>What is an input and a discharge?</w:t>
            </w:r>
            <w:r>
              <w:rPr>
                <w:noProof/>
                <w:webHidden/>
              </w:rPr>
              <w:tab/>
            </w:r>
            <w:r>
              <w:rPr>
                <w:noProof/>
                <w:webHidden/>
              </w:rPr>
              <w:fldChar w:fldCharType="begin"/>
            </w:r>
            <w:r>
              <w:rPr>
                <w:noProof/>
                <w:webHidden/>
              </w:rPr>
              <w:instrText xml:space="preserve"> PAGEREF _Toc193716147 \h </w:instrText>
            </w:r>
            <w:r>
              <w:rPr>
                <w:noProof/>
                <w:webHidden/>
              </w:rPr>
            </w:r>
            <w:r>
              <w:rPr>
                <w:noProof/>
                <w:webHidden/>
              </w:rPr>
              <w:fldChar w:fldCharType="separate"/>
            </w:r>
            <w:r>
              <w:rPr>
                <w:noProof/>
                <w:webHidden/>
              </w:rPr>
              <w:t>19</w:t>
            </w:r>
            <w:r>
              <w:rPr>
                <w:noProof/>
                <w:webHidden/>
              </w:rPr>
              <w:fldChar w:fldCharType="end"/>
            </w:r>
          </w:hyperlink>
        </w:p>
        <w:p w14:paraId="41BFC95F" w14:textId="2A68B493" w:rsidR="005A69B7" w:rsidRDefault="005A69B7">
          <w:pPr>
            <w:pStyle w:val="TOC2"/>
            <w:tabs>
              <w:tab w:val="left" w:pos="960"/>
              <w:tab w:val="right" w:leader="dot" w:pos="10212"/>
            </w:tabs>
            <w:rPr>
              <w:noProof/>
              <w:kern w:val="2"/>
              <w:lang w:eastAsia="en-GB"/>
              <w14:ligatures w14:val="standardContextual"/>
            </w:rPr>
          </w:pPr>
          <w:hyperlink w:anchor="_Toc193716148" w:history="1">
            <w:r w:rsidRPr="00A761E7">
              <w:rPr>
                <w:rStyle w:val="Hyperlink"/>
                <w:rFonts w:eastAsia="Times New Roman"/>
                <w:noProof/>
              </w:rPr>
              <w:t>A1.5</w:t>
            </w:r>
            <w:r>
              <w:rPr>
                <w:noProof/>
                <w:kern w:val="2"/>
                <w:lang w:eastAsia="en-GB"/>
                <w14:ligatures w14:val="standardContextual"/>
              </w:rPr>
              <w:tab/>
            </w:r>
            <w:r w:rsidRPr="00A761E7">
              <w:rPr>
                <w:rStyle w:val="Hyperlink"/>
                <w:rFonts w:eastAsia="Times New Roman"/>
                <w:noProof/>
              </w:rPr>
              <w:t>What is an assessment point and how does it differ from compliance?</w:t>
            </w:r>
            <w:r>
              <w:rPr>
                <w:noProof/>
                <w:webHidden/>
              </w:rPr>
              <w:tab/>
            </w:r>
            <w:r>
              <w:rPr>
                <w:noProof/>
                <w:webHidden/>
              </w:rPr>
              <w:fldChar w:fldCharType="begin"/>
            </w:r>
            <w:r>
              <w:rPr>
                <w:noProof/>
                <w:webHidden/>
              </w:rPr>
              <w:instrText xml:space="preserve"> PAGEREF _Toc193716148 \h </w:instrText>
            </w:r>
            <w:r>
              <w:rPr>
                <w:noProof/>
                <w:webHidden/>
              </w:rPr>
            </w:r>
            <w:r>
              <w:rPr>
                <w:noProof/>
                <w:webHidden/>
              </w:rPr>
              <w:fldChar w:fldCharType="separate"/>
            </w:r>
            <w:r>
              <w:rPr>
                <w:noProof/>
                <w:webHidden/>
              </w:rPr>
              <w:t>21</w:t>
            </w:r>
            <w:r>
              <w:rPr>
                <w:noProof/>
                <w:webHidden/>
              </w:rPr>
              <w:fldChar w:fldCharType="end"/>
            </w:r>
          </w:hyperlink>
        </w:p>
        <w:p w14:paraId="759D077E" w14:textId="67C67B13" w:rsidR="005A69B7" w:rsidRDefault="005A69B7">
          <w:pPr>
            <w:pStyle w:val="TOC2"/>
            <w:tabs>
              <w:tab w:val="left" w:pos="960"/>
              <w:tab w:val="right" w:leader="dot" w:pos="10212"/>
            </w:tabs>
            <w:rPr>
              <w:noProof/>
              <w:kern w:val="2"/>
              <w:lang w:eastAsia="en-GB"/>
              <w14:ligatures w14:val="standardContextual"/>
            </w:rPr>
          </w:pPr>
          <w:hyperlink w:anchor="_Toc193716149" w:history="1">
            <w:r w:rsidRPr="00A761E7">
              <w:rPr>
                <w:rStyle w:val="Hyperlink"/>
                <w:rFonts w:eastAsia="Times New Roman"/>
                <w:noProof/>
              </w:rPr>
              <w:t>A1.6</w:t>
            </w:r>
            <w:r>
              <w:rPr>
                <w:noProof/>
                <w:kern w:val="2"/>
                <w:lang w:eastAsia="en-GB"/>
                <w14:ligatures w14:val="standardContextual"/>
              </w:rPr>
              <w:tab/>
            </w:r>
            <w:r w:rsidRPr="00A761E7">
              <w:rPr>
                <w:rStyle w:val="Hyperlink"/>
                <w:rFonts w:eastAsia="Times New Roman"/>
                <w:noProof/>
              </w:rPr>
              <w:t>What is the basis for the environmental standards for input into groundwater of hazardous substances?</w:t>
            </w:r>
            <w:r>
              <w:rPr>
                <w:noProof/>
                <w:webHidden/>
              </w:rPr>
              <w:tab/>
            </w:r>
            <w:r>
              <w:rPr>
                <w:noProof/>
                <w:webHidden/>
              </w:rPr>
              <w:fldChar w:fldCharType="begin"/>
            </w:r>
            <w:r>
              <w:rPr>
                <w:noProof/>
                <w:webHidden/>
              </w:rPr>
              <w:instrText xml:space="preserve"> PAGEREF _Toc193716149 \h </w:instrText>
            </w:r>
            <w:r>
              <w:rPr>
                <w:noProof/>
                <w:webHidden/>
              </w:rPr>
            </w:r>
            <w:r>
              <w:rPr>
                <w:noProof/>
                <w:webHidden/>
              </w:rPr>
              <w:fldChar w:fldCharType="separate"/>
            </w:r>
            <w:r>
              <w:rPr>
                <w:noProof/>
                <w:webHidden/>
              </w:rPr>
              <w:t>23</w:t>
            </w:r>
            <w:r>
              <w:rPr>
                <w:noProof/>
                <w:webHidden/>
              </w:rPr>
              <w:fldChar w:fldCharType="end"/>
            </w:r>
          </w:hyperlink>
        </w:p>
        <w:p w14:paraId="24355FA4" w14:textId="6863C0AD" w:rsidR="005A69B7" w:rsidRDefault="005A69B7">
          <w:pPr>
            <w:pStyle w:val="TOC2"/>
            <w:tabs>
              <w:tab w:val="left" w:pos="960"/>
              <w:tab w:val="right" w:leader="dot" w:pos="10212"/>
            </w:tabs>
            <w:rPr>
              <w:noProof/>
              <w:kern w:val="2"/>
              <w:lang w:eastAsia="en-GB"/>
              <w14:ligatures w14:val="standardContextual"/>
            </w:rPr>
          </w:pPr>
          <w:hyperlink w:anchor="_Toc193716150" w:history="1">
            <w:r w:rsidRPr="00A761E7">
              <w:rPr>
                <w:rStyle w:val="Hyperlink"/>
                <w:rFonts w:eastAsia="Times New Roman"/>
                <w:noProof/>
              </w:rPr>
              <w:t>A1.7</w:t>
            </w:r>
            <w:r>
              <w:rPr>
                <w:noProof/>
                <w:kern w:val="2"/>
                <w:lang w:eastAsia="en-GB"/>
                <w14:ligatures w14:val="standardContextual"/>
              </w:rPr>
              <w:tab/>
            </w:r>
            <w:r w:rsidRPr="00A761E7">
              <w:rPr>
                <w:rStyle w:val="Hyperlink"/>
                <w:rFonts w:eastAsia="Times New Roman"/>
                <w:noProof/>
              </w:rPr>
              <w:t>What is the basis for the threshold value?</w:t>
            </w:r>
            <w:r>
              <w:rPr>
                <w:noProof/>
                <w:webHidden/>
              </w:rPr>
              <w:tab/>
            </w:r>
            <w:r>
              <w:rPr>
                <w:noProof/>
                <w:webHidden/>
              </w:rPr>
              <w:fldChar w:fldCharType="begin"/>
            </w:r>
            <w:r>
              <w:rPr>
                <w:noProof/>
                <w:webHidden/>
              </w:rPr>
              <w:instrText xml:space="preserve"> PAGEREF _Toc193716150 \h </w:instrText>
            </w:r>
            <w:r>
              <w:rPr>
                <w:noProof/>
                <w:webHidden/>
              </w:rPr>
            </w:r>
            <w:r>
              <w:rPr>
                <w:noProof/>
                <w:webHidden/>
              </w:rPr>
              <w:fldChar w:fldCharType="separate"/>
            </w:r>
            <w:r>
              <w:rPr>
                <w:noProof/>
                <w:webHidden/>
              </w:rPr>
              <w:t>23</w:t>
            </w:r>
            <w:r>
              <w:rPr>
                <w:noProof/>
                <w:webHidden/>
              </w:rPr>
              <w:fldChar w:fldCharType="end"/>
            </w:r>
          </w:hyperlink>
        </w:p>
        <w:p w14:paraId="2EA2DB97" w14:textId="3ED3B610" w:rsidR="005A69B7" w:rsidRDefault="005A69B7">
          <w:pPr>
            <w:pStyle w:val="TOC2"/>
            <w:tabs>
              <w:tab w:val="left" w:pos="960"/>
              <w:tab w:val="right" w:leader="dot" w:pos="10212"/>
            </w:tabs>
            <w:rPr>
              <w:noProof/>
              <w:kern w:val="2"/>
              <w:lang w:eastAsia="en-GB"/>
              <w14:ligatures w14:val="standardContextual"/>
            </w:rPr>
          </w:pPr>
          <w:hyperlink w:anchor="_Toc193716151" w:history="1">
            <w:r w:rsidRPr="00A761E7">
              <w:rPr>
                <w:rStyle w:val="Hyperlink"/>
                <w:rFonts w:eastAsia="Times New Roman"/>
                <w:noProof/>
              </w:rPr>
              <w:t>A1.8</w:t>
            </w:r>
            <w:r>
              <w:rPr>
                <w:noProof/>
                <w:kern w:val="2"/>
                <w:lang w:eastAsia="en-GB"/>
                <w14:ligatures w14:val="standardContextual"/>
              </w:rPr>
              <w:tab/>
            </w:r>
            <w:r w:rsidRPr="00A761E7">
              <w:rPr>
                <w:rStyle w:val="Hyperlink"/>
                <w:rFonts w:eastAsia="Times New Roman"/>
                <w:noProof/>
              </w:rPr>
              <w:t>What is the basis for the groundwater pollution standards?</w:t>
            </w:r>
            <w:r>
              <w:rPr>
                <w:noProof/>
                <w:webHidden/>
              </w:rPr>
              <w:tab/>
            </w:r>
            <w:r>
              <w:rPr>
                <w:noProof/>
                <w:webHidden/>
              </w:rPr>
              <w:fldChar w:fldCharType="begin"/>
            </w:r>
            <w:r>
              <w:rPr>
                <w:noProof/>
                <w:webHidden/>
              </w:rPr>
              <w:instrText xml:space="preserve"> PAGEREF _Toc193716151 \h </w:instrText>
            </w:r>
            <w:r>
              <w:rPr>
                <w:noProof/>
                <w:webHidden/>
              </w:rPr>
            </w:r>
            <w:r>
              <w:rPr>
                <w:noProof/>
                <w:webHidden/>
              </w:rPr>
              <w:fldChar w:fldCharType="separate"/>
            </w:r>
            <w:r>
              <w:rPr>
                <w:noProof/>
                <w:webHidden/>
              </w:rPr>
              <w:t>24</w:t>
            </w:r>
            <w:r>
              <w:rPr>
                <w:noProof/>
                <w:webHidden/>
              </w:rPr>
              <w:fldChar w:fldCharType="end"/>
            </w:r>
          </w:hyperlink>
        </w:p>
        <w:p w14:paraId="38CEEE7F" w14:textId="4D199FF4" w:rsidR="005A69B7" w:rsidRDefault="005A69B7">
          <w:pPr>
            <w:pStyle w:val="TOC2"/>
            <w:tabs>
              <w:tab w:val="left" w:pos="960"/>
              <w:tab w:val="right" w:leader="dot" w:pos="10212"/>
            </w:tabs>
            <w:rPr>
              <w:noProof/>
              <w:kern w:val="2"/>
              <w:lang w:eastAsia="en-GB"/>
              <w14:ligatures w14:val="standardContextual"/>
            </w:rPr>
          </w:pPr>
          <w:hyperlink w:anchor="_Toc193716152" w:history="1">
            <w:r w:rsidRPr="00A761E7">
              <w:rPr>
                <w:rStyle w:val="Hyperlink"/>
                <w:rFonts w:eastAsia="Times New Roman"/>
                <w:noProof/>
              </w:rPr>
              <w:t>A1.9</w:t>
            </w:r>
            <w:r>
              <w:rPr>
                <w:noProof/>
                <w:kern w:val="2"/>
                <w:lang w:eastAsia="en-GB"/>
                <w14:ligatures w14:val="standardContextual"/>
              </w:rPr>
              <w:tab/>
            </w:r>
            <w:r w:rsidRPr="00A761E7">
              <w:rPr>
                <w:rStyle w:val="Hyperlink"/>
                <w:rFonts w:eastAsia="Times New Roman"/>
                <w:noProof/>
              </w:rPr>
              <w:t>What is the basis for the groundwater status standards?</w:t>
            </w:r>
            <w:r>
              <w:rPr>
                <w:noProof/>
                <w:webHidden/>
              </w:rPr>
              <w:tab/>
            </w:r>
            <w:r>
              <w:rPr>
                <w:noProof/>
                <w:webHidden/>
              </w:rPr>
              <w:fldChar w:fldCharType="begin"/>
            </w:r>
            <w:r>
              <w:rPr>
                <w:noProof/>
                <w:webHidden/>
              </w:rPr>
              <w:instrText xml:space="preserve"> PAGEREF _Toc193716152 \h </w:instrText>
            </w:r>
            <w:r>
              <w:rPr>
                <w:noProof/>
                <w:webHidden/>
              </w:rPr>
            </w:r>
            <w:r>
              <w:rPr>
                <w:noProof/>
                <w:webHidden/>
              </w:rPr>
              <w:fldChar w:fldCharType="separate"/>
            </w:r>
            <w:r>
              <w:rPr>
                <w:noProof/>
                <w:webHidden/>
              </w:rPr>
              <w:t>25</w:t>
            </w:r>
            <w:r>
              <w:rPr>
                <w:noProof/>
                <w:webHidden/>
              </w:rPr>
              <w:fldChar w:fldCharType="end"/>
            </w:r>
          </w:hyperlink>
        </w:p>
        <w:p w14:paraId="75A05247" w14:textId="26306C2D" w:rsidR="005A69B7" w:rsidRDefault="005A69B7">
          <w:pPr>
            <w:pStyle w:val="TOC2"/>
            <w:tabs>
              <w:tab w:val="left" w:pos="1200"/>
              <w:tab w:val="right" w:leader="dot" w:pos="10212"/>
            </w:tabs>
            <w:rPr>
              <w:noProof/>
              <w:kern w:val="2"/>
              <w:lang w:eastAsia="en-GB"/>
              <w14:ligatures w14:val="standardContextual"/>
            </w:rPr>
          </w:pPr>
          <w:hyperlink w:anchor="_Toc193716153" w:history="1">
            <w:r w:rsidRPr="00A761E7">
              <w:rPr>
                <w:rStyle w:val="Hyperlink"/>
                <w:rFonts w:eastAsia="Times New Roman"/>
                <w:noProof/>
              </w:rPr>
              <w:t>A1.10</w:t>
            </w:r>
            <w:r>
              <w:rPr>
                <w:noProof/>
                <w:kern w:val="2"/>
                <w:lang w:eastAsia="en-GB"/>
                <w14:ligatures w14:val="standardContextual"/>
              </w:rPr>
              <w:tab/>
            </w:r>
            <w:r w:rsidRPr="00A761E7">
              <w:rPr>
                <w:rStyle w:val="Hyperlink"/>
                <w:rFonts w:eastAsia="Times New Roman"/>
                <w:noProof/>
              </w:rPr>
              <w:t>What is significant pollution?</w:t>
            </w:r>
            <w:r>
              <w:rPr>
                <w:noProof/>
                <w:webHidden/>
              </w:rPr>
              <w:tab/>
            </w:r>
            <w:r>
              <w:rPr>
                <w:noProof/>
                <w:webHidden/>
              </w:rPr>
              <w:fldChar w:fldCharType="begin"/>
            </w:r>
            <w:r>
              <w:rPr>
                <w:noProof/>
                <w:webHidden/>
              </w:rPr>
              <w:instrText xml:space="preserve"> PAGEREF _Toc193716153 \h </w:instrText>
            </w:r>
            <w:r>
              <w:rPr>
                <w:noProof/>
                <w:webHidden/>
              </w:rPr>
            </w:r>
            <w:r>
              <w:rPr>
                <w:noProof/>
                <w:webHidden/>
              </w:rPr>
              <w:fldChar w:fldCharType="separate"/>
            </w:r>
            <w:r>
              <w:rPr>
                <w:noProof/>
                <w:webHidden/>
              </w:rPr>
              <w:t>26</w:t>
            </w:r>
            <w:r>
              <w:rPr>
                <w:noProof/>
                <w:webHidden/>
              </w:rPr>
              <w:fldChar w:fldCharType="end"/>
            </w:r>
          </w:hyperlink>
        </w:p>
        <w:p w14:paraId="22816D53" w14:textId="11B5AF19" w:rsidR="005A69B7" w:rsidRDefault="005A69B7">
          <w:pPr>
            <w:pStyle w:val="TOC1"/>
            <w:tabs>
              <w:tab w:val="right" w:leader="dot" w:pos="10212"/>
            </w:tabs>
            <w:rPr>
              <w:noProof/>
              <w:kern w:val="2"/>
              <w:lang w:eastAsia="en-GB"/>
              <w14:ligatures w14:val="standardContextual"/>
            </w:rPr>
          </w:pPr>
          <w:hyperlink w:anchor="_Toc193716154" w:history="1">
            <w:r w:rsidRPr="00A761E7">
              <w:rPr>
                <w:rStyle w:val="Hyperlink"/>
                <w:rFonts w:eastAsia="Times New Roman"/>
                <w:noProof/>
              </w:rPr>
              <w:t>Annex 2 Groundwater standard concentrations</w:t>
            </w:r>
            <w:r>
              <w:rPr>
                <w:noProof/>
                <w:webHidden/>
              </w:rPr>
              <w:tab/>
            </w:r>
            <w:r>
              <w:rPr>
                <w:noProof/>
                <w:webHidden/>
              </w:rPr>
              <w:fldChar w:fldCharType="begin"/>
            </w:r>
            <w:r>
              <w:rPr>
                <w:noProof/>
                <w:webHidden/>
              </w:rPr>
              <w:instrText xml:space="preserve"> PAGEREF _Toc193716154 \h </w:instrText>
            </w:r>
            <w:r>
              <w:rPr>
                <w:noProof/>
                <w:webHidden/>
              </w:rPr>
            </w:r>
            <w:r>
              <w:rPr>
                <w:noProof/>
                <w:webHidden/>
              </w:rPr>
              <w:fldChar w:fldCharType="separate"/>
            </w:r>
            <w:r>
              <w:rPr>
                <w:noProof/>
                <w:webHidden/>
              </w:rPr>
              <w:t>27</w:t>
            </w:r>
            <w:r>
              <w:rPr>
                <w:noProof/>
                <w:webHidden/>
              </w:rPr>
              <w:fldChar w:fldCharType="end"/>
            </w:r>
          </w:hyperlink>
        </w:p>
        <w:p w14:paraId="5A4BC29F" w14:textId="1DF9FAD7" w:rsidR="005A69B7" w:rsidRDefault="005A69B7">
          <w:pPr>
            <w:pStyle w:val="TOC2"/>
            <w:tabs>
              <w:tab w:val="left" w:pos="960"/>
              <w:tab w:val="right" w:leader="dot" w:pos="10212"/>
            </w:tabs>
            <w:rPr>
              <w:noProof/>
              <w:kern w:val="2"/>
              <w:lang w:eastAsia="en-GB"/>
              <w14:ligatures w14:val="standardContextual"/>
            </w:rPr>
          </w:pPr>
          <w:hyperlink w:anchor="_Toc193716155" w:history="1">
            <w:r w:rsidRPr="00A761E7">
              <w:rPr>
                <w:rStyle w:val="Hyperlink"/>
                <w:rFonts w:eastAsia="Times New Roman"/>
                <w:noProof/>
              </w:rPr>
              <w:t>A2.1</w:t>
            </w:r>
            <w:r>
              <w:rPr>
                <w:noProof/>
                <w:kern w:val="2"/>
                <w:lang w:eastAsia="en-GB"/>
                <w14:ligatures w14:val="standardContextual"/>
              </w:rPr>
              <w:tab/>
            </w:r>
            <w:r w:rsidRPr="00A761E7">
              <w:rPr>
                <w:rStyle w:val="Hyperlink"/>
                <w:rFonts w:eastAsia="Times New Roman"/>
                <w:noProof/>
              </w:rPr>
              <w:t>Groundwater standards for common substances</w:t>
            </w:r>
            <w:r>
              <w:rPr>
                <w:noProof/>
                <w:webHidden/>
              </w:rPr>
              <w:tab/>
            </w:r>
            <w:r>
              <w:rPr>
                <w:noProof/>
                <w:webHidden/>
              </w:rPr>
              <w:fldChar w:fldCharType="begin"/>
            </w:r>
            <w:r>
              <w:rPr>
                <w:noProof/>
                <w:webHidden/>
              </w:rPr>
              <w:instrText xml:space="preserve"> PAGEREF _Toc193716155 \h </w:instrText>
            </w:r>
            <w:r>
              <w:rPr>
                <w:noProof/>
                <w:webHidden/>
              </w:rPr>
            </w:r>
            <w:r>
              <w:rPr>
                <w:noProof/>
                <w:webHidden/>
              </w:rPr>
              <w:fldChar w:fldCharType="separate"/>
            </w:r>
            <w:r>
              <w:rPr>
                <w:noProof/>
                <w:webHidden/>
              </w:rPr>
              <w:t>27</w:t>
            </w:r>
            <w:r>
              <w:rPr>
                <w:noProof/>
                <w:webHidden/>
              </w:rPr>
              <w:fldChar w:fldCharType="end"/>
            </w:r>
          </w:hyperlink>
        </w:p>
        <w:p w14:paraId="277633D1" w14:textId="798283B0" w:rsidR="005A69B7" w:rsidRDefault="005A69B7">
          <w:pPr>
            <w:pStyle w:val="TOC2"/>
            <w:tabs>
              <w:tab w:val="left" w:pos="960"/>
              <w:tab w:val="right" w:leader="dot" w:pos="10212"/>
            </w:tabs>
            <w:rPr>
              <w:noProof/>
              <w:kern w:val="2"/>
              <w:lang w:eastAsia="en-GB"/>
              <w14:ligatures w14:val="standardContextual"/>
            </w:rPr>
          </w:pPr>
          <w:hyperlink w:anchor="_Toc193716156" w:history="1">
            <w:r w:rsidRPr="00A761E7">
              <w:rPr>
                <w:rStyle w:val="Hyperlink"/>
                <w:rFonts w:eastAsia="Times New Roman"/>
                <w:noProof/>
              </w:rPr>
              <w:t>A2.2</w:t>
            </w:r>
            <w:r>
              <w:rPr>
                <w:noProof/>
                <w:kern w:val="2"/>
                <w:lang w:eastAsia="en-GB"/>
                <w14:ligatures w14:val="standardContextual"/>
              </w:rPr>
              <w:tab/>
            </w:r>
            <w:r w:rsidRPr="00A761E7">
              <w:rPr>
                <w:rStyle w:val="Hyperlink"/>
                <w:rFonts w:eastAsia="Times New Roman"/>
                <w:noProof/>
              </w:rPr>
              <w:t>Methodology for deriving standards</w:t>
            </w:r>
            <w:r>
              <w:rPr>
                <w:noProof/>
                <w:webHidden/>
              </w:rPr>
              <w:tab/>
            </w:r>
            <w:r>
              <w:rPr>
                <w:noProof/>
                <w:webHidden/>
              </w:rPr>
              <w:fldChar w:fldCharType="begin"/>
            </w:r>
            <w:r>
              <w:rPr>
                <w:noProof/>
                <w:webHidden/>
              </w:rPr>
              <w:instrText xml:space="preserve"> PAGEREF _Toc193716156 \h </w:instrText>
            </w:r>
            <w:r>
              <w:rPr>
                <w:noProof/>
                <w:webHidden/>
              </w:rPr>
            </w:r>
            <w:r>
              <w:rPr>
                <w:noProof/>
                <w:webHidden/>
              </w:rPr>
              <w:fldChar w:fldCharType="separate"/>
            </w:r>
            <w:r>
              <w:rPr>
                <w:noProof/>
                <w:webHidden/>
              </w:rPr>
              <w:t>28</w:t>
            </w:r>
            <w:r>
              <w:rPr>
                <w:noProof/>
                <w:webHidden/>
              </w:rPr>
              <w:fldChar w:fldCharType="end"/>
            </w:r>
          </w:hyperlink>
        </w:p>
        <w:p w14:paraId="7CAE9B89" w14:textId="23247A26" w:rsidR="005A69B7" w:rsidRDefault="005A69B7">
          <w:pPr>
            <w:pStyle w:val="TOC2"/>
            <w:tabs>
              <w:tab w:val="left" w:pos="960"/>
              <w:tab w:val="right" w:leader="dot" w:pos="10212"/>
            </w:tabs>
            <w:rPr>
              <w:noProof/>
              <w:kern w:val="2"/>
              <w:lang w:eastAsia="en-GB"/>
              <w14:ligatures w14:val="standardContextual"/>
            </w:rPr>
          </w:pPr>
          <w:hyperlink w:anchor="_Toc193716157" w:history="1">
            <w:r w:rsidRPr="00A761E7">
              <w:rPr>
                <w:rStyle w:val="Hyperlink"/>
                <w:rFonts w:eastAsia="Times New Roman"/>
                <w:noProof/>
              </w:rPr>
              <w:t>A2.3</w:t>
            </w:r>
            <w:r>
              <w:rPr>
                <w:noProof/>
                <w:kern w:val="2"/>
                <w:lang w:eastAsia="en-GB"/>
                <w14:ligatures w14:val="standardContextual"/>
              </w:rPr>
              <w:tab/>
            </w:r>
            <w:r w:rsidRPr="00A761E7">
              <w:rPr>
                <w:rStyle w:val="Hyperlink"/>
                <w:rFonts w:eastAsia="Times New Roman"/>
                <w:noProof/>
              </w:rPr>
              <w:t>Modifying standards to account for naturally elevated background concentrations</w:t>
            </w:r>
            <w:r>
              <w:rPr>
                <w:noProof/>
                <w:webHidden/>
              </w:rPr>
              <w:tab/>
            </w:r>
            <w:r>
              <w:rPr>
                <w:noProof/>
                <w:webHidden/>
              </w:rPr>
              <w:fldChar w:fldCharType="begin"/>
            </w:r>
            <w:r>
              <w:rPr>
                <w:noProof/>
                <w:webHidden/>
              </w:rPr>
              <w:instrText xml:space="preserve"> PAGEREF _Toc193716157 \h </w:instrText>
            </w:r>
            <w:r>
              <w:rPr>
                <w:noProof/>
                <w:webHidden/>
              </w:rPr>
            </w:r>
            <w:r>
              <w:rPr>
                <w:noProof/>
                <w:webHidden/>
              </w:rPr>
              <w:fldChar w:fldCharType="separate"/>
            </w:r>
            <w:r>
              <w:rPr>
                <w:noProof/>
                <w:webHidden/>
              </w:rPr>
              <w:t>28</w:t>
            </w:r>
            <w:r>
              <w:rPr>
                <w:noProof/>
                <w:webHidden/>
              </w:rPr>
              <w:fldChar w:fldCharType="end"/>
            </w:r>
          </w:hyperlink>
        </w:p>
        <w:p w14:paraId="5191C2F7" w14:textId="1DF75D75" w:rsidR="005A69B7" w:rsidRDefault="005A69B7">
          <w:pPr>
            <w:pStyle w:val="TOC2"/>
            <w:tabs>
              <w:tab w:val="left" w:pos="960"/>
              <w:tab w:val="right" w:leader="dot" w:pos="10212"/>
            </w:tabs>
            <w:rPr>
              <w:noProof/>
              <w:kern w:val="2"/>
              <w:lang w:eastAsia="en-GB"/>
              <w14:ligatures w14:val="standardContextual"/>
            </w:rPr>
          </w:pPr>
          <w:hyperlink w:anchor="_Toc193716158" w:history="1">
            <w:r w:rsidRPr="00A761E7">
              <w:rPr>
                <w:rStyle w:val="Hyperlink"/>
                <w:rFonts w:eastAsia="Times New Roman"/>
                <w:noProof/>
              </w:rPr>
              <w:t>A2.4</w:t>
            </w:r>
            <w:r>
              <w:rPr>
                <w:noProof/>
                <w:kern w:val="2"/>
                <w:lang w:eastAsia="en-GB"/>
                <w14:ligatures w14:val="standardContextual"/>
              </w:rPr>
              <w:tab/>
            </w:r>
            <w:r w:rsidRPr="00A761E7">
              <w:rPr>
                <w:rStyle w:val="Hyperlink"/>
                <w:rFonts w:eastAsia="Times New Roman"/>
                <w:noProof/>
              </w:rPr>
              <w:t>Managing limits of quantification</w:t>
            </w:r>
            <w:r>
              <w:rPr>
                <w:noProof/>
                <w:webHidden/>
              </w:rPr>
              <w:tab/>
            </w:r>
            <w:r>
              <w:rPr>
                <w:noProof/>
                <w:webHidden/>
              </w:rPr>
              <w:fldChar w:fldCharType="begin"/>
            </w:r>
            <w:r>
              <w:rPr>
                <w:noProof/>
                <w:webHidden/>
              </w:rPr>
              <w:instrText xml:space="preserve"> PAGEREF _Toc193716158 \h </w:instrText>
            </w:r>
            <w:r>
              <w:rPr>
                <w:noProof/>
                <w:webHidden/>
              </w:rPr>
            </w:r>
            <w:r>
              <w:rPr>
                <w:noProof/>
                <w:webHidden/>
              </w:rPr>
              <w:fldChar w:fldCharType="separate"/>
            </w:r>
            <w:r>
              <w:rPr>
                <w:noProof/>
                <w:webHidden/>
              </w:rPr>
              <w:t>28</w:t>
            </w:r>
            <w:r>
              <w:rPr>
                <w:noProof/>
                <w:webHidden/>
              </w:rPr>
              <w:fldChar w:fldCharType="end"/>
            </w:r>
          </w:hyperlink>
        </w:p>
        <w:p w14:paraId="5FF162A8" w14:textId="4C8A4D10" w:rsidR="005A69B7" w:rsidRDefault="005A69B7">
          <w:pPr>
            <w:pStyle w:val="TOC1"/>
            <w:tabs>
              <w:tab w:val="right" w:leader="dot" w:pos="10212"/>
            </w:tabs>
            <w:rPr>
              <w:noProof/>
              <w:kern w:val="2"/>
              <w:lang w:eastAsia="en-GB"/>
              <w14:ligatures w14:val="standardContextual"/>
            </w:rPr>
          </w:pPr>
          <w:hyperlink w:anchor="_Toc193716159" w:history="1">
            <w:r w:rsidRPr="00A761E7">
              <w:rPr>
                <w:rStyle w:val="Hyperlink"/>
                <w:rFonts w:eastAsia="Times New Roman"/>
                <w:noProof/>
              </w:rPr>
              <w:t>Annex 3 Recommended assessment approach</w:t>
            </w:r>
            <w:r>
              <w:rPr>
                <w:noProof/>
                <w:webHidden/>
              </w:rPr>
              <w:tab/>
            </w:r>
            <w:r>
              <w:rPr>
                <w:noProof/>
                <w:webHidden/>
              </w:rPr>
              <w:fldChar w:fldCharType="begin"/>
            </w:r>
            <w:r>
              <w:rPr>
                <w:noProof/>
                <w:webHidden/>
              </w:rPr>
              <w:instrText xml:space="preserve"> PAGEREF _Toc193716159 \h </w:instrText>
            </w:r>
            <w:r>
              <w:rPr>
                <w:noProof/>
                <w:webHidden/>
              </w:rPr>
            </w:r>
            <w:r>
              <w:rPr>
                <w:noProof/>
                <w:webHidden/>
              </w:rPr>
              <w:fldChar w:fldCharType="separate"/>
            </w:r>
            <w:r>
              <w:rPr>
                <w:noProof/>
                <w:webHidden/>
              </w:rPr>
              <w:t>29</w:t>
            </w:r>
            <w:r>
              <w:rPr>
                <w:noProof/>
                <w:webHidden/>
              </w:rPr>
              <w:fldChar w:fldCharType="end"/>
            </w:r>
          </w:hyperlink>
        </w:p>
        <w:p w14:paraId="4A62BA92" w14:textId="507316A5" w:rsidR="005A69B7" w:rsidRDefault="005A69B7">
          <w:pPr>
            <w:pStyle w:val="TOC2"/>
            <w:tabs>
              <w:tab w:val="left" w:pos="960"/>
              <w:tab w:val="right" w:leader="dot" w:pos="10212"/>
            </w:tabs>
            <w:rPr>
              <w:noProof/>
              <w:kern w:val="2"/>
              <w:lang w:eastAsia="en-GB"/>
              <w14:ligatures w14:val="standardContextual"/>
            </w:rPr>
          </w:pPr>
          <w:hyperlink w:anchor="_Toc193716160" w:history="1">
            <w:r w:rsidRPr="00A761E7">
              <w:rPr>
                <w:rStyle w:val="Hyperlink"/>
                <w:rFonts w:eastAsia="Times New Roman"/>
                <w:noProof/>
              </w:rPr>
              <w:t>A3.1</w:t>
            </w:r>
            <w:r>
              <w:rPr>
                <w:noProof/>
                <w:kern w:val="2"/>
                <w:lang w:eastAsia="en-GB"/>
                <w14:ligatures w14:val="standardContextual"/>
              </w:rPr>
              <w:tab/>
            </w:r>
            <w:r w:rsidRPr="00A761E7">
              <w:rPr>
                <w:rStyle w:val="Hyperlink"/>
                <w:rFonts w:eastAsia="Times New Roman"/>
                <w:noProof/>
              </w:rPr>
              <w:t>General approach</w:t>
            </w:r>
            <w:r>
              <w:rPr>
                <w:noProof/>
                <w:webHidden/>
              </w:rPr>
              <w:tab/>
            </w:r>
            <w:r>
              <w:rPr>
                <w:noProof/>
                <w:webHidden/>
              </w:rPr>
              <w:fldChar w:fldCharType="begin"/>
            </w:r>
            <w:r>
              <w:rPr>
                <w:noProof/>
                <w:webHidden/>
              </w:rPr>
              <w:instrText xml:space="preserve"> PAGEREF _Toc193716160 \h </w:instrText>
            </w:r>
            <w:r>
              <w:rPr>
                <w:noProof/>
                <w:webHidden/>
              </w:rPr>
            </w:r>
            <w:r>
              <w:rPr>
                <w:noProof/>
                <w:webHidden/>
              </w:rPr>
              <w:fldChar w:fldCharType="separate"/>
            </w:r>
            <w:r>
              <w:rPr>
                <w:noProof/>
                <w:webHidden/>
              </w:rPr>
              <w:t>29</w:t>
            </w:r>
            <w:r>
              <w:rPr>
                <w:noProof/>
                <w:webHidden/>
              </w:rPr>
              <w:fldChar w:fldCharType="end"/>
            </w:r>
          </w:hyperlink>
        </w:p>
        <w:p w14:paraId="489C5053" w14:textId="1A9C4F03" w:rsidR="005A69B7" w:rsidRDefault="005A69B7">
          <w:pPr>
            <w:pStyle w:val="TOC3"/>
            <w:tabs>
              <w:tab w:val="left" w:pos="1440"/>
              <w:tab w:val="right" w:leader="dot" w:pos="10212"/>
            </w:tabs>
            <w:rPr>
              <w:noProof/>
              <w:kern w:val="2"/>
              <w:lang w:eastAsia="en-GB"/>
              <w14:ligatures w14:val="standardContextual"/>
            </w:rPr>
          </w:pPr>
          <w:hyperlink w:anchor="_Toc193716161" w:history="1">
            <w:r w:rsidRPr="00A761E7">
              <w:rPr>
                <w:rStyle w:val="Hyperlink"/>
                <w:rFonts w:eastAsia="Times New Roman"/>
                <w:noProof/>
              </w:rPr>
              <w:t>A3.1.1</w:t>
            </w:r>
            <w:r>
              <w:rPr>
                <w:noProof/>
                <w:kern w:val="2"/>
                <w:lang w:eastAsia="en-GB"/>
                <w14:ligatures w14:val="standardContextual"/>
              </w:rPr>
              <w:tab/>
            </w:r>
            <w:r w:rsidRPr="00A761E7">
              <w:rPr>
                <w:rStyle w:val="Hyperlink"/>
                <w:rFonts w:eastAsia="Times New Roman"/>
                <w:noProof/>
              </w:rPr>
              <w:t>Pollutant Linkages</w:t>
            </w:r>
            <w:r>
              <w:rPr>
                <w:noProof/>
                <w:webHidden/>
              </w:rPr>
              <w:tab/>
            </w:r>
            <w:r>
              <w:rPr>
                <w:noProof/>
                <w:webHidden/>
              </w:rPr>
              <w:fldChar w:fldCharType="begin"/>
            </w:r>
            <w:r>
              <w:rPr>
                <w:noProof/>
                <w:webHidden/>
              </w:rPr>
              <w:instrText xml:space="preserve"> PAGEREF _Toc193716161 \h </w:instrText>
            </w:r>
            <w:r>
              <w:rPr>
                <w:noProof/>
                <w:webHidden/>
              </w:rPr>
            </w:r>
            <w:r>
              <w:rPr>
                <w:noProof/>
                <w:webHidden/>
              </w:rPr>
              <w:fldChar w:fldCharType="separate"/>
            </w:r>
            <w:r>
              <w:rPr>
                <w:noProof/>
                <w:webHidden/>
              </w:rPr>
              <w:t>30</w:t>
            </w:r>
            <w:r>
              <w:rPr>
                <w:noProof/>
                <w:webHidden/>
              </w:rPr>
              <w:fldChar w:fldCharType="end"/>
            </w:r>
          </w:hyperlink>
        </w:p>
        <w:p w14:paraId="2FC25F76" w14:textId="21321462" w:rsidR="005A69B7" w:rsidRDefault="005A69B7">
          <w:pPr>
            <w:pStyle w:val="TOC3"/>
            <w:tabs>
              <w:tab w:val="left" w:pos="1440"/>
              <w:tab w:val="right" w:leader="dot" w:pos="10212"/>
            </w:tabs>
            <w:rPr>
              <w:noProof/>
              <w:kern w:val="2"/>
              <w:lang w:eastAsia="en-GB"/>
              <w14:ligatures w14:val="standardContextual"/>
            </w:rPr>
          </w:pPr>
          <w:hyperlink w:anchor="_Toc193716162" w:history="1">
            <w:r w:rsidRPr="00A761E7">
              <w:rPr>
                <w:rStyle w:val="Hyperlink"/>
                <w:noProof/>
              </w:rPr>
              <w:t>A3.1.2</w:t>
            </w:r>
            <w:r>
              <w:rPr>
                <w:noProof/>
                <w:kern w:val="2"/>
                <w:lang w:eastAsia="en-GB"/>
                <w14:ligatures w14:val="standardContextual"/>
              </w:rPr>
              <w:tab/>
            </w:r>
            <w:r w:rsidRPr="00A761E7">
              <w:rPr>
                <w:rStyle w:val="Hyperlink"/>
                <w:noProof/>
              </w:rPr>
              <w:t>Source characterisation</w:t>
            </w:r>
            <w:r>
              <w:rPr>
                <w:noProof/>
                <w:webHidden/>
              </w:rPr>
              <w:tab/>
            </w:r>
            <w:r>
              <w:rPr>
                <w:noProof/>
                <w:webHidden/>
              </w:rPr>
              <w:fldChar w:fldCharType="begin"/>
            </w:r>
            <w:r>
              <w:rPr>
                <w:noProof/>
                <w:webHidden/>
              </w:rPr>
              <w:instrText xml:space="preserve"> PAGEREF _Toc193716162 \h </w:instrText>
            </w:r>
            <w:r>
              <w:rPr>
                <w:noProof/>
                <w:webHidden/>
              </w:rPr>
            </w:r>
            <w:r>
              <w:rPr>
                <w:noProof/>
                <w:webHidden/>
              </w:rPr>
              <w:fldChar w:fldCharType="separate"/>
            </w:r>
            <w:r>
              <w:rPr>
                <w:noProof/>
                <w:webHidden/>
              </w:rPr>
              <w:t>31</w:t>
            </w:r>
            <w:r>
              <w:rPr>
                <w:noProof/>
                <w:webHidden/>
              </w:rPr>
              <w:fldChar w:fldCharType="end"/>
            </w:r>
          </w:hyperlink>
        </w:p>
        <w:p w14:paraId="4ED50D81" w14:textId="1CF007B2" w:rsidR="005A69B7" w:rsidRDefault="005A69B7">
          <w:pPr>
            <w:pStyle w:val="TOC3"/>
            <w:tabs>
              <w:tab w:val="left" w:pos="1440"/>
              <w:tab w:val="right" w:leader="dot" w:pos="10212"/>
            </w:tabs>
            <w:rPr>
              <w:noProof/>
              <w:kern w:val="2"/>
              <w:lang w:eastAsia="en-GB"/>
              <w14:ligatures w14:val="standardContextual"/>
            </w:rPr>
          </w:pPr>
          <w:hyperlink w:anchor="_Toc193716163" w:history="1">
            <w:r w:rsidRPr="00A761E7">
              <w:rPr>
                <w:rStyle w:val="Hyperlink"/>
                <w:rFonts w:eastAsia="Times New Roman"/>
                <w:noProof/>
              </w:rPr>
              <w:t>A3.1.3</w:t>
            </w:r>
            <w:r>
              <w:rPr>
                <w:noProof/>
                <w:kern w:val="2"/>
                <w:lang w:eastAsia="en-GB"/>
                <w14:ligatures w14:val="standardContextual"/>
              </w:rPr>
              <w:tab/>
            </w:r>
            <w:r w:rsidRPr="00A761E7">
              <w:rPr>
                <w:rStyle w:val="Hyperlink"/>
                <w:rFonts w:eastAsia="Times New Roman"/>
                <w:noProof/>
              </w:rPr>
              <w:t>Pathway characterisation</w:t>
            </w:r>
            <w:r>
              <w:rPr>
                <w:noProof/>
                <w:webHidden/>
              </w:rPr>
              <w:tab/>
            </w:r>
            <w:r>
              <w:rPr>
                <w:noProof/>
                <w:webHidden/>
              </w:rPr>
              <w:fldChar w:fldCharType="begin"/>
            </w:r>
            <w:r>
              <w:rPr>
                <w:noProof/>
                <w:webHidden/>
              </w:rPr>
              <w:instrText xml:space="preserve"> PAGEREF _Toc193716163 \h </w:instrText>
            </w:r>
            <w:r>
              <w:rPr>
                <w:noProof/>
                <w:webHidden/>
              </w:rPr>
            </w:r>
            <w:r>
              <w:rPr>
                <w:noProof/>
                <w:webHidden/>
              </w:rPr>
              <w:fldChar w:fldCharType="separate"/>
            </w:r>
            <w:r>
              <w:rPr>
                <w:noProof/>
                <w:webHidden/>
              </w:rPr>
              <w:t>32</w:t>
            </w:r>
            <w:r>
              <w:rPr>
                <w:noProof/>
                <w:webHidden/>
              </w:rPr>
              <w:fldChar w:fldCharType="end"/>
            </w:r>
          </w:hyperlink>
        </w:p>
        <w:p w14:paraId="5E73ED52" w14:textId="3AF083A4" w:rsidR="005A69B7" w:rsidRDefault="005A69B7">
          <w:pPr>
            <w:pStyle w:val="TOC3"/>
            <w:tabs>
              <w:tab w:val="left" w:pos="1440"/>
              <w:tab w:val="right" w:leader="dot" w:pos="10212"/>
            </w:tabs>
            <w:rPr>
              <w:noProof/>
              <w:kern w:val="2"/>
              <w:lang w:eastAsia="en-GB"/>
              <w14:ligatures w14:val="standardContextual"/>
            </w:rPr>
          </w:pPr>
          <w:hyperlink w:anchor="_Toc193716164" w:history="1">
            <w:r w:rsidRPr="00A761E7">
              <w:rPr>
                <w:rStyle w:val="Hyperlink"/>
                <w:rFonts w:eastAsia="Times New Roman"/>
                <w:noProof/>
              </w:rPr>
              <w:t>A3.1.4</w:t>
            </w:r>
            <w:r>
              <w:rPr>
                <w:noProof/>
                <w:kern w:val="2"/>
                <w:lang w:eastAsia="en-GB"/>
                <w14:ligatures w14:val="standardContextual"/>
              </w:rPr>
              <w:tab/>
            </w:r>
            <w:r w:rsidRPr="00A761E7">
              <w:rPr>
                <w:rStyle w:val="Hyperlink"/>
                <w:rFonts w:eastAsia="Times New Roman"/>
                <w:noProof/>
              </w:rPr>
              <w:t>Receptor characterisation</w:t>
            </w:r>
            <w:r>
              <w:rPr>
                <w:noProof/>
                <w:webHidden/>
              </w:rPr>
              <w:tab/>
            </w:r>
            <w:r>
              <w:rPr>
                <w:noProof/>
                <w:webHidden/>
              </w:rPr>
              <w:fldChar w:fldCharType="begin"/>
            </w:r>
            <w:r>
              <w:rPr>
                <w:noProof/>
                <w:webHidden/>
              </w:rPr>
              <w:instrText xml:space="preserve"> PAGEREF _Toc193716164 \h </w:instrText>
            </w:r>
            <w:r>
              <w:rPr>
                <w:noProof/>
                <w:webHidden/>
              </w:rPr>
            </w:r>
            <w:r>
              <w:rPr>
                <w:noProof/>
                <w:webHidden/>
              </w:rPr>
              <w:fldChar w:fldCharType="separate"/>
            </w:r>
            <w:r>
              <w:rPr>
                <w:noProof/>
                <w:webHidden/>
              </w:rPr>
              <w:t>33</w:t>
            </w:r>
            <w:r>
              <w:rPr>
                <w:noProof/>
                <w:webHidden/>
              </w:rPr>
              <w:fldChar w:fldCharType="end"/>
            </w:r>
          </w:hyperlink>
        </w:p>
        <w:p w14:paraId="20644C5E" w14:textId="45812238" w:rsidR="005A69B7" w:rsidRDefault="005A69B7">
          <w:pPr>
            <w:pStyle w:val="TOC3"/>
            <w:tabs>
              <w:tab w:val="left" w:pos="1440"/>
              <w:tab w:val="right" w:leader="dot" w:pos="10212"/>
            </w:tabs>
            <w:rPr>
              <w:noProof/>
              <w:kern w:val="2"/>
              <w:lang w:eastAsia="en-GB"/>
              <w14:ligatures w14:val="standardContextual"/>
            </w:rPr>
          </w:pPr>
          <w:hyperlink w:anchor="_Toc193716165" w:history="1">
            <w:r w:rsidRPr="00A761E7">
              <w:rPr>
                <w:rStyle w:val="Hyperlink"/>
                <w:rFonts w:eastAsia="Times New Roman"/>
                <w:noProof/>
              </w:rPr>
              <w:t>A3.1.5</w:t>
            </w:r>
            <w:r>
              <w:rPr>
                <w:noProof/>
                <w:kern w:val="2"/>
                <w:lang w:eastAsia="en-GB"/>
                <w14:ligatures w14:val="standardContextual"/>
              </w:rPr>
              <w:tab/>
            </w:r>
            <w:r w:rsidRPr="00A761E7">
              <w:rPr>
                <w:rStyle w:val="Hyperlink"/>
                <w:rFonts w:eastAsia="Times New Roman"/>
                <w:noProof/>
              </w:rPr>
              <w:t>Calculation of annual average concentrations</w:t>
            </w:r>
            <w:r>
              <w:rPr>
                <w:noProof/>
                <w:webHidden/>
              </w:rPr>
              <w:tab/>
            </w:r>
            <w:r>
              <w:rPr>
                <w:noProof/>
                <w:webHidden/>
              </w:rPr>
              <w:fldChar w:fldCharType="begin"/>
            </w:r>
            <w:r>
              <w:rPr>
                <w:noProof/>
                <w:webHidden/>
              </w:rPr>
              <w:instrText xml:space="preserve"> PAGEREF _Toc193716165 \h </w:instrText>
            </w:r>
            <w:r>
              <w:rPr>
                <w:noProof/>
                <w:webHidden/>
              </w:rPr>
            </w:r>
            <w:r>
              <w:rPr>
                <w:noProof/>
                <w:webHidden/>
              </w:rPr>
              <w:fldChar w:fldCharType="separate"/>
            </w:r>
            <w:r>
              <w:rPr>
                <w:noProof/>
                <w:webHidden/>
              </w:rPr>
              <w:t>34</w:t>
            </w:r>
            <w:r>
              <w:rPr>
                <w:noProof/>
                <w:webHidden/>
              </w:rPr>
              <w:fldChar w:fldCharType="end"/>
            </w:r>
          </w:hyperlink>
        </w:p>
        <w:p w14:paraId="42D26300" w14:textId="72958F70" w:rsidR="005A69B7" w:rsidRDefault="005A69B7">
          <w:pPr>
            <w:pStyle w:val="TOC2"/>
            <w:tabs>
              <w:tab w:val="left" w:pos="960"/>
              <w:tab w:val="right" w:leader="dot" w:pos="10212"/>
            </w:tabs>
            <w:rPr>
              <w:noProof/>
              <w:kern w:val="2"/>
              <w:lang w:eastAsia="en-GB"/>
              <w14:ligatures w14:val="standardContextual"/>
            </w:rPr>
          </w:pPr>
          <w:hyperlink w:anchor="_Toc193716166" w:history="1">
            <w:r w:rsidRPr="00A761E7">
              <w:rPr>
                <w:rStyle w:val="Hyperlink"/>
                <w:rFonts w:eastAsia="Times New Roman"/>
                <w:noProof/>
              </w:rPr>
              <w:t>A3.2</w:t>
            </w:r>
            <w:r>
              <w:rPr>
                <w:noProof/>
                <w:kern w:val="2"/>
                <w:lang w:eastAsia="en-GB"/>
                <w14:ligatures w14:val="standardContextual"/>
              </w:rPr>
              <w:tab/>
            </w:r>
            <w:r w:rsidRPr="00A761E7">
              <w:rPr>
                <w:rStyle w:val="Hyperlink"/>
                <w:rFonts w:eastAsia="Times New Roman"/>
                <w:noProof/>
              </w:rPr>
              <w:t>Tier 1 Screening</w:t>
            </w:r>
            <w:r>
              <w:rPr>
                <w:noProof/>
                <w:webHidden/>
              </w:rPr>
              <w:tab/>
            </w:r>
            <w:r>
              <w:rPr>
                <w:noProof/>
                <w:webHidden/>
              </w:rPr>
              <w:fldChar w:fldCharType="begin"/>
            </w:r>
            <w:r>
              <w:rPr>
                <w:noProof/>
                <w:webHidden/>
              </w:rPr>
              <w:instrText xml:space="preserve"> PAGEREF _Toc193716166 \h </w:instrText>
            </w:r>
            <w:r>
              <w:rPr>
                <w:noProof/>
                <w:webHidden/>
              </w:rPr>
            </w:r>
            <w:r>
              <w:rPr>
                <w:noProof/>
                <w:webHidden/>
              </w:rPr>
              <w:fldChar w:fldCharType="separate"/>
            </w:r>
            <w:r>
              <w:rPr>
                <w:noProof/>
                <w:webHidden/>
              </w:rPr>
              <w:t>36</w:t>
            </w:r>
            <w:r>
              <w:rPr>
                <w:noProof/>
                <w:webHidden/>
              </w:rPr>
              <w:fldChar w:fldCharType="end"/>
            </w:r>
          </w:hyperlink>
        </w:p>
        <w:p w14:paraId="1C2CE153" w14:textId="2862D725" w:rsidR="005A69B7" w:rsidRDefault="005A69B7">
          <w:pPr>
            <w:pStyle w:val="TOC2"/>
            <w:tabs>
              <w:tab w:val="left" w:pos="960"/>
              <w:tab w:val="right" w:leader="dot" w:pos="10212"/>
            </w:tabs>
            <w:rPr>
              <w:noProof/>
              <w:kern w:val="2"/>
              <w:lang w:eastAsia="en-GB"/>
              <w14:ligatures w14:val="standardContextual"/>
            </w:rPr>
          </w:pPr>
          <w:hyperlink w:anchor="_Toc193716167" w:history="1">
            <w:r w:rsidRPr="00A761E7">
              <w:rPr>
                <w:rStyle w:val="Hyperlink"/>
                <w:rFonts w:eastAsia="Times New Roman"/>
                <w:noProof/>
              </w:rPr>
              <w:t>A3.3</w:t>
            </w:r>
            <w:r>
              <w:rPr>
                <w:noProof/>
                <w:kern w:val="2"/>
                <w:lang w:eastAsia="en-GB"/>
                <w14:ligatures w14:val="standardContextual"/>
              </w:rPr>
              <w:tab/>
            </w:r>
            <w:r w:rsidRPr="00A761E7">
              <w:rPr>
                <w:rStyle w:val="Hyperlink"/>
                <w:rFonts w:eastAsia="Times New Roman"/>
                <w:noProof/>
              </w:rPr>
              <w:t>Tier 2 QRA dilution only</w:t>
            </w:r>
            <w:r>
              <w:rPr>
                <w:noProof/>
                <w:webHidden/>
              </w:rPr>
              <w:tab/>
            </w:r>
            <w:r>
              <w:rPr>
                <w:noProof/>
                <w:webHidden/>
              </w:rPr>
              <w:fldChar w:fldCharType="begin"/>
            </w:r>
            <w:r>
              <w:rPr>
                <w:noProof/>
                <w:webHidden/>
              </w:rPr>
              <w:instrText xml:space="preserve"> PAGEREF _Toc193716167 \h </w:instrText>
            </w:r>
            <w:r>
              <w:rPr>
                <w:noProof/>
                <w:webHidden/>
              </w:rPr>
            </w:r>
            <w:r>
              <w:rPr>
                <w:noProof/>
                <w:webHidden/>
              </w:rPr>
              <w:fldChar w:fldCharType="separate"/>
            </w:r>
            <w:r>
              <w:rPr>
                <w:noProof/>
                <w:webHidden/>
              </w:rPr>
              <w:t>37</w:t>
            </w:r>
            <w:r>
              <w:rPr>
                <w:noProof/>
                <w:webHidden/>
              </w:rPr>
              <w:fldChar w:fldCharType="end"/>
            </w:r>
          </w:hyperlink>
        </w:p>
        <w:p w14:paraId="00CCFD54" w14:textId="40110BCE" w:rsidR="005A69B7" w:rsidRDefault="005A69B7">
          <w:pPr>
            <w:pStyle w:val="TOC3"/>
            <w:tabs>
              <w:tab w:val="left" w:pos="1440"/>
              <w:tab w:val="right" w:leader="dot" w:pos="10212"/>
            </w:tabs>
            <w:rPr>
              <w:noProof/>
              <w:kern w:val="2"/>
              <w:lang w:eastAsia="en-GB"/>
              <w14:ligatures w14:val="standardContextual"/>
            </w:rPr>
          </w:pPr>
          <w:hyperlink w:anchor="_Toc193716168" w:history="1">
            <w:r w:rsidRPr="00A761E7">
              <w:rPr>
                <w:rStyle w:val="Hyperlink"/>
                <w:rFonts w:eastAsia="Times New Roman"/>
                <w:noProof/>
              </w:rPr>
              <w:t>A3.3.1</w:t>
            </w:r>
            <w:r>
              <w:rPr>
                <w:noProof/>
                <w:kern w:val="2"/>
                <w:lang w:eastAsia="en-GB"/>
                <w14:ligatures w14:val="standardContextual"/>
              </w:rPr>
              <w:tab/>
            </w:r>
            <w:r w:rsidRPr="00A761E7">
              <w:rPr>
                <w:rStyle w:val="Hyperlink"/>
                <w:rFonts w:eastAsia="Times New Roman"/>
                <w:noProof/>
              </w:rPr>
              <w:t>Input loading</w:t>
            </w:r>
            <w:r>
              <w:rPr>
                <w:noProof/>
                <w:webHidden/>
              </w:rPr>
              <w:tab/>
            </w:r>
            <w:r>
              <w:rPr>
                <w:noProof/>
                <w:webHidden/>
              </w:rPr>
              <w:fldChar w:fldCharType="begin"/>
            </w:r>
            <w:r>
              <w:rPr>
                <w:noProof/>
                <w:webHidden/>
              </w:rPr>
              <w:instrText xml:space="preserve"> PAGEREF _Toc193716168 \h </w:instrText>
            </w:r>
            <w:r>
              <w:rPr>
                <w:noProof/>
                <w:webHidden/>
              </w:rPr>
            </w:r>
            <w:r>
              <w:rPr>
                <w:noProof/>
                <w:webHidden/>
              </w:rPr>
              <w:fldChar w:fldCharType="separate"/>
            </w:r>
            <w:r>
              <w:rPr>
                <w:noProof/>
                <w:webHidden/>
              </w:rPr>
              <w:t>37</w:t>
            </w:r>
            <w:r>
              <w:rPr>
                <w:noProof/>
                <w:webHidden/>
              </w:rPr>
              <w:fldChar w:fldCharType="end"/>
            </w:r>
          </w:hyperlink>
        </w:p>
        <w:p w14:paraId="531F40A1" w14:textId="0F086693" w:rsidR="005A69B7" w:rsidRDefault="005A69B7">
          <w:pPr>
            <w:pStyle w:val="TOC3"/>
            <w:tabs>
              <w:tab w:val="left" w:pos="1440"/>
              <w:tab w:val="right" w:leader="dot" w:pos="10212"/>
            </w:tabs>
            <w:rPr>
              <w:noProof/>
              <w:kern w:val="2"/>
              <w:lang w:eastAsia="en-GB"/>
              <w14:ligatures w14:val="standardContextual"/>
            </w:rPr>
          </w:pPr>
          <w:hyperlink w:anchor="_Toc193716169" w:history="1">
            <w:r w:rsidRPr="00A761E7">
              <w:rPr>
                <w:rStyle w:val="Hyperlink"/>
                <w:rFonts w:eastAsia="Times New Roman"/>
                <w:noProof/>
              </w:rPr>
              <w:t>A3.3.2</w:t>
            </w:r>
            <w:r>
              <w:rPr>
                <w:noProof/>
                <w:kern w:val="2"/>
                <w:lang w:eastAsia="en-GB"/>
                <w14:ligatures w14:val="standardContextual"/>
              </w:rPr>
              <w:tab/>
            </w:r>
            <w:r w:rsidRPr="00A761E7">
              <w:rPr>
                <w:rStyle w:val="Hyperlink"/>
                <w:rFonts w:eastAsia="Times New Roman"/>
                <w:noProof/>
              </w:rPr>
              <w:t>Accounting for upgradient groundwater quality</w:t>
            </w:r>
            <w:r>
              <w:rPr>
                <w:noProof/>
                <w:webHidden/>
              </w:rPr>
              <w:tab/>
            </w:r>
            <w:r>
              <w:rPr>
                <w:noProof/>
                <w:webHidden/>
              </w:rPr>
              <w:fldChar w:fldCharType="begin"/>
            </w:r>
            <w:r>
              <w:rPr>
                <w:noProof/>
                <w:webHidden/>
              </w:rPr>
              <w:instrText xml:space="preserve"> PAGEREF _Toc193716169 \h </w:instrText>
            </w:r>
            <w:r>
              <w:rPr>
                <w:noProof/>
                <w:webHidden/>
              </w:rPr>
            </w:r>
            <w:r>
              <w:rPr>
                <w:noProof/>
                <w:webHidden/>
              </w:rPr>
              <w:fldChar w:fldCharType="separate"/>
            </w:r>
            <w:r>
              <w:rPr>
                <w:noProof/>
                <w:webHidden/>
              </w:rPr>
              <w:t>40</w:t>
            </w:r>
            <w:r>
              <w:rPr>
                <w:noProof/>
                <w:webHidden/>
              </w:rPr>
              <w:fldChar w:fldCharType="end"/>
            </w:r>
          </w:hyperlink>
        </w:p>
        <w:p w14:paraId="70FF3468" w14:textId="48FC0EC8" w:rsidR="005A69B7" w:rsidRDefault="005A69B7">
          <w:pPr>
            <w:pStyle w:val="TOC3"/>
            <w:tabs>
              <w:tab w:val="left" w:pos="1440"/>
              <w:tab w:val="right" w:leader="dot" w:pos="10212"/>
            </w:tabs>
            <w:rPr>
              <w:noProof/>
              <w:kern w:val="2"/>
              <w:lang w:eastAsia="en-GB"/>
              <w14:ligatures w14:val="standardContextual"/>
            </w:rPr>
          </w:pPr>
          <w:hyperlink w:anchor="_Toc193716170" w:history="1">
            <w:r w:rsidRPr="00A761E7">
              <w:rPr>
                <w:rStyle w:val="Hyperlink"/>
                <w:rFonts w:eastAsia="Times New Roman"/>
                <w:noProof/>
              </w:rPr>
              <w:t>A3.3.3</w:t>
            </w:r>
            <w:r>
              <w:rPr>
                <w:noProof/>
                <w:kern w:val="2"/>
                <w:lang w:eastAsia="en-GB"/>
                <w14:ligatures w14:val="standardContextual"/>
              </w:rPr>
              <w:tab/>
            </w:r>
            <w:r w:rsidRPr="00A761E7">
              <w:rPr>
                <w:rStyle w:val="Hyperlink"/>
                <w:rFonts w:eastAsia="Times New Roman"/>
                <w:noProof/>
              </w:rPr>
              <w:t>Assessing impacts on future groundwater resources</w:t>
            </w:r>
            <w:r>
              <w:rPr>
                <w:noProof/>
                <w:webHidden/>
              </w:rPr>
              <w:tab/>
            </w:r>
            <w:r>
              <w:rPr>
                <w:noProof/>
                <w:webHidden/>
              </w:rPr>
              <w:fldChar w:fldCharType="begin"/>
            </w:r>
            <w:r>
              <w:rPr>
                <w:noProof/>
                <w:webHidden/>
              </w:rPr>
              <w:instrText xml:space="preserve"> PAGEREF _Toc193716170 \h </w:instrText>
            </w:r>
            <w:r>
              <w:rPr>
                <w:noProof/>
                <w:webHidden/>
              </w:rPr>
            </w:r>
            <w:r>
              <w:rPr>
                <w:noProof/>
                <w:webHidden/>
              </w:rPr>
              <w:fldChar w:fldCharType="separate"/>
            </w:r>
            <w:r>
              <w:rPr>
                <w:noProof/>
                <w:webHidden/>
              </w:rPr>
              <w:t>41</w:t>
            </w:r>
            <w:r>
              <w:rPr>
                <w:noProof/>
                <w:webHidden/>
              </w:rPr>
              <w:fldChar w:fldCharType="end"/>
            </w:r>
          </w:hyperlink>
        </w:p>
        <w:p w14:paraId="098A6FDF" w14:textId="3FA2E3C9" w:rsidR="005A69B7" w:rsidRDefault="005A69B7">
          <w:pPr>
            <w:pStyle w:val="TOC3"/>
            <w:tabs>
              <w:tab w:val="left" w:pos="1440"/>
              <w:tab w:val="right" w:leader="dot" w:pos="10212"/>
            </w:tabs>
            <w:rPr>
              <w:noProof/>
              <w:kern w:val="2"/>
              <w:lang w:eastAsia="en-GB"/>
              <w14:ligatures w14:val="standardContextual"/>
            </w:rPr>
          </w:pPr>
          <w:hyperlink w:anchor="_Toc193716171" w:history="1">
            <w:r w:rsidRPr="00A761E7">
              <w:rPr>
                <w:rStyle w:val="Hyperlink"/>
                <w:rFonts w:eastAsia="Times New Roman"/>
                <w:noProof/>
              </w:rPr>
              <w:t>A3.3.4</w:t>
            </w:r>
            <w:r>
              <w:rPr>
                <w:noProof/>
                <w:kern w:val="2"/>
                <w:lang w:eastAsia="en-GB"/>
                <w14:ligatures w14:val="standardContextual"/>
              </w:rPr>
              <w:tab/>
            </w:r>
            <w:r w:rsidRPr="00A761E7">
              <w:rPr>
                <w:rStyle w:val="Hyperlink"/>
                <w:rFonts w:eastAsia="Times New Roman"/>
                <w:noProof/>
              </w:rPr>
              <w:t>Assessing potential impacts on surface waters</w:t>
            </w:r>
            <w:r>
              <w:rPr>
                <w:noProof/>
                <w:webHidden/>
              </w:rPr>
              <w:tab/>
            </w:r>
            <w:r>
              <w:rPr>
                <w:noProof/>
                <w:webHidden/>
              </w:rPr>
              <w:fldChar w:fldCharType="begin"/>
            </w:r>
            <w:r>
              <w:rPr>
                <w:noProof/>
                <w:webHidden/>
              </w:rPr>
              <w:instrText xml:space="preserve"> PAGEREF _Toc193716171 \h </w:instrText>
            </w:r>
            <w:r>
              <w:rPr>
                <w:noProof/>
                <w:webHidden/>
              </w:rPr>
            </w:r>
            <w:r>
              <w:rPr>
                <w:noProof/>
                <w:webHidden/>
              </w:rPr>
              <w:fldChar w:fldCharType="separate"/>
            </w:r>
            <w:r>
              <w:rPr>
                <w:noProof/>
                <w:webHidden/>
              </w:rPr>
              <w:t>43</w:t>
            </w:r>
            <w:r>
              <w:rPr>
                <w:noProof/>
                <w:webHidden/>
              </w:rPr>
              <w:fldChar w:fldCharType="end"/>
            </w:r>
          </w:hyperlink>
        </w:p>
        <w:p w14:paraId="1EF27BAE" w14:textId="10CE6893" w:rsidR="005A69B7" w:rsidRDefault="005A69B7">
          <w:pPr>
            <w:pStyle w:val="TOC3"/>
            <w:tabs>
              <w:tab w:val="left" w:pos="1440"/>
              <w:tab w:val="right" w:leader="dot" w:pos="10212"/>
            </w:tabs>
            <w:rPr>
              <w:noProof/>
              <w:kern w:val="2"/>
              <w:lang w:eastAsia="en-GB"/>
              <w14:ligatures w14:val="standardContextual"/>
            </w:rPr>
          </w:pPr>
          <w:hyperlink w:anchor="_Toc193716172" w:history="1">
            <w:r w:rsidRPr="00A761E7">
              <w:rPr>
                <w:rStyle w:val="Hyperlink"/>
                <w:rFonts w:eastAsia="Times New Roman"/>
                <w:noProof/>
              </w:rPr>
              <w:t>A3.3.5</w:t>
            </w:r>
            <w:r>
              <w:rPr>
                <w:noProof/>
                <w:kern w:val="2"/>
                <w:lang w:eastAsia="en-GB"/>
                <w14:ligatures w14:val="standardContextual"/>
              </w:rPr>
              <w:tab/>
            </w:r>
            <w:r w:rsidRPr="00A761E7">
              <w:rPr>
                <w:rStyle w:val="Hyperlink"/>
                <w:rFonts w:eastAsia="Times New Roman"/>
                <w:noProof/>
              </w:rPr>
              <w:t>Assessing potential impacts on abstractions</w:t>
            </w:r>
            <w:r>
              <w:rPr>
                <w:noProof/>
                <w:webHidden/>
              </w:rPr>
              <w:tab/>
            </w:r>
            <w:r>
              <w:rPr>
                <w:noProof/>
                <w:webHidden/>
              </w:rPr>
              <w:fldChar w:fldCharType="begin"/>
            </w:r>
            <w:r>
              <w:rPr>
                <w:noProof/>
                <w:webHidden/>
              </w:rPr>
              <w:instrText xml:space="preserve"> PAGEREF _Toc193716172 \h </w:instrText>
            </w:r>
            <w:r>
              <w:rPr>
                <w:noProof/>
                <w:webHidden/>
              </w:rPr>
            </w:r>
            <w:r>
              <w:rPr>
                <w:noProof/>
                <w:webHidden/>
              </w:rPr>
              <w:fldChar w:fldCharType="separate"/>
            </w:r>
            <w:r>
              <w:rPr>
                <w:noProof/>
                <w:webHidden/>
              </w:rPr>
              <w:t>46</w:t>
            </w:r>
            <w:r>
              <w:rPr>
                <w:noProof/>
                <w:webHidden/>
              </w:rPr>
              <w:fldChar w:fldCharType="end"/>
            </w:r>
          </w:hyperlink>
        </w:p>
        <w:p w14:paraId="577F887E" w14:textId="36BA553A" w:rsidR="005A69B7" w:rsidRDefault="005A69B7">
          <w:pPr>
            <w:pStyle w:val="TOC3"/>
            <w:tabs>
              <w:tab w:val="left" w:pos="1440"/>
              <w:tab w:val="right" w:leader="dot" w:pos="10212"/>
            </w:tabs>
            <w:rPr>
              <w:noProof/>
              <w:kern w:val="2"/>
              <w:lang w:eastAsia="en-GB"/>
              <w14:ligatures w14:val="standardContextual"/>
            </w:rPr>
          </w:pPr>
          <w:hyperlink w:anchor="_Toc193716173" w:history="1">
            <w:r w:rsidRPr="00A761E7">
              <w:rPr>
                <w:rStyle w:val="Hyperlink"/>
                <w:rFonts w:eastAsia="Times New Roman"/>
                <w:noProof/>
              </w:rPr>
              <w:t>A3.3.6</w:t>
            </w:r>
            <w:r>
              <w:rPr>
                <w:noProof/>
                <w:kern w:val="2"/>
                <w:lang w:eastAsia="en-GB"/>
                <w14:ligatures w14:val="standardContextual"/>
              </w:rPr>
              <w:tab/>
            </w:r>
            <w:r w:rsidRPr="00A761E7">
              <w:rPr>
                <w:rStyle w:val="Hyperlink"/>
                <w:rFonts w:eastAsia="Times New Roman"/>
                <w:noProof/>
              </w:rPr>
              <w:t>Assessing potential impacts on groundwater terrestrial ecosystems</w:t>
            </w:r>
            <w:r>
              <w:rPr>
                <w:noProof/>
                <w:webHidden/>
              </w:rPr>
              <w:tab/>
            </w:r>
            <w:r>
              <w:rPr>
                <w:noProof/>
                <w:webHidden/>
              </w:rPr>
              <w:fldChar w:fldCharType="begin"/>
            </w:r>
            <w:r>
              <w:rPr>
                <w:noProof/>
                <w:webHidden/>
              </w:rPr>
              <w:instrText xml:space="preserve"> PAGEREF _Toc193716173 \h </w:instrText>
            </w:r>
            <w:r>
              <w:rPr>
                <w:noProof/>
                <w:webHidden/>
              </w:rPr>
            </w:r>
            <w:r>
              <w:rPr>
                <w:noProof/>
                <w:webHidden/>
              </w:rPr>
              <w:fldChar w:fldCharType="separate"/>
            </w:r>
            <w:r>
              <w:rPr>
                <w:noProof/>
                <w:webHidden/>
              </w:rPr>
              <w:t>47</w:t>
            </w:r>
            <w:r>
              <w:rPr>
                <w:noProof/>
                <w:webHidden/>
              </w:rPr>
              <w:fldChar w:fldCharType="end"/>
            </w:r>
          </w:hyperlink>
        </w:p>
        <w:p w14:paraId="52A43226" w14:textId="1C42F236" w:rsidR="005A69B7" w:rsidRDefault="005A69B7">
          <w:pPr>
            <w:pStyle w:val="TOC2"/>
            <w:tabs>
              <w:tab w:val="left" w:pos="960"/>
              <w:tab w:val="right" w:leader="dot" w:pos="10212"/>
            </w:tabs>
            <w:rPr>
              <w:noProof/>
              <w:kern w:val="2"/>
              <w:lang w:eastAsia="en-GB"/>
              <w14:ligatures w14:val="standardContextual"/>
            </w:rPr>
          </w:pPr>
          <w:hyperlink w:anchor="_Toc193716174" w:history="1">
            <w:r w:rsidRPr="00A761E7">
              <w:rPr>
                <w:rStyle w:val="Hyperlink"/>
                <w:rFonts w:eastAsia="Times New Roman"/>
                <w:noProof/>
              </w:rPr>
              <w:t>A3.4</w:t>
            </w:r>
            <w:r>
              <w:rPr>
                <w:noProof/>
                <w:kern w:val="2"/>
                <w:lang w:eastAsia="en-GB"/>
                <w14:ligatures w14:val="standardContextual"/>
              </w:rPr>
              <w:tab/>
            </w:r>
            <w:r w:rsidRPr="00A761E7">
              <w:rPr>
                <w:rStyle w:val="Hyperlink"/>
                <w:rFonts w:eastAsia="Times New Roman"/>
                <w:noProof/>
              </w:rPr>
              <w:t>Tier 3 DQRA including natural attenuation</w:t>
            </w:r>
            <w:r>
              <w:rPr>
                <w:noProof/>
                <w:webHidden/>
              </w:rPr>
              <w:tab/>
            </w:r>
            <w:r>
              <w:rPr>
                <w:noProof/>
                <w:webHidden/>
              </w:rPr>
              <w:fldChar w:fldCharType="begin"/>
            </w:r>
            <w:r>
              <w:rPr>
                <w:noProof/>
                <w:webHidden/>
              </w:rPr>
              <w:instrText xml:space="preserve"> PAGEREF _Toc193716174 \h </w:instrText>
            </w:r>
            <w:r>
              <w:rPr>
                <w:noProof/>
                <w:webHidden/>
              </w:rPr>
            </w:r>
            <w:r>
              <w:rPr>
                <w:noProof/>
                <w:webHidden/>
              </w:rPr>
              <w:fldChar w:fldCharType="separate"/>
            </w:r>
            <w:r>
              <w:rPr>
                <w:noProof/>
                <w:webHidden/>
              </w:rPr>
              <w:t>48</w:t>
            </w:r>
            <w:r>
              <w:rPr>
                <w:noProof/>
                <w:webHidden/>
              </w:rPr>
              <w:fldChar w:fldCharType="end"/>
            </w:r>
          </w:hyperlink>
        </w:p>
        <w:p w14:paraId="0024B69F" w14:textId="111F97A1" w:rsidR="005A69B7" w:rsidRDefault="005A69B7">
          <w:pPr>
            <w:pStyle w:val="TOC1"/>
            <w:tabs>
              <w:tab w:val="right" w:leader="dot" w:pos="10212"/>
            </w:tabs>
            <w:rPr>
              <w:noProof/>
              <w:kern w:val="2"/>
              <w:lang w:eastAsia="en-GB"/>
              <w14:ligatures w14:val="standardContextual"/>
            </w:rPr>
          </w:pPr>
          <w:hyperlink w:anchor="_Toc193716175" w:history="1">
            <w:r w:rsidRPr="00A761E7">
              <w:rPr>
                <w:rStyle w:val="Hyperlink"/>
                <w:rFonts w:eastAsia="Times New Roman"/>
                <w:noProof/>
              </w:rPr>
              <w:t>Annex 4 Assessing future groundwater resource potential in superficial deposits</w:t>
            </w:r>
            <w:r>
              <w:rPr>
                <w:noProof/>
                <w:webHidden/>
              </w:rPr>
              <w:tab/>
            </w:r>
            <w:r>
              <w:rPr>
                <w:noProof/>
                <w:webHidden/>
              </w:rPr>
              <w:fldChar w:fldCharType="begin"/>
            </w:r>
            <w:r>
              <w:rPr>
                <w:noProof/>
                <w:webHidden/>
              </w:rPr>
              <w:instrText xml:space="preserve"> PAGEREF _Toc193716175 \h </w:instrText>
            </w:r>
            <w:r>
              <w:rPr>
                <w:noProof/>
                <w:webHidden/>
              </w:rPr>
            </w:r>
            <w:r>
              <w:rPr>
                <w:noProof/>
                <w:webHidden/>
              </w:rPr>
              <w:fldChar w:fldCharType="separate"/>
            </w:r>
            <w:r>
              <w:rPr>
                <w:noProof/>
                <w:webHidden/>
              </w:rPr>
              <w:t>49</w:t>
            </w:r>
            <w:r>
              <w:rPr>
                <w:noProof/>
                <w:webHidden/>
              </w:rPr>
              <w:fldChar w:fldCharType="end"/>
            </w:r>
          </w:hyperlink>
        </w:p>
        <w:p w14:paraId="1B7EAAEF" w14:textId="0C39D94B" w:rsidR="005A69B7" w:rsidRDefault="005A69B7">
          <w:pPr>
            <w:pStyle w:val="TOC2"/>
            <w:tabs>
              <w:tab w:val="left" w:pos="960"/>
              <w:tab w:val="right" w:leader="dot" w:pos="10212"/>
            </w:tabs>
            <w:rPr>
              <w:noProof/>
              <w:kern w:val="2"/>
              <w:lang w:eastAsia="en-GB"/>
              <w14:ligatures w14:val="standardContextual"/>
            </w:rPr>
          </w:pPr>
          <w:hyperlink w:anchor="_Toc193716176" w:history="1">
            <w:r w:rsidRPr="00A761E7">
              <w:rPr>
                <w:rStyle w:val="Hyperlink"/>
                <w:rFonts w:eastAsia="Times New Roman"/>
                <w:noProof/>
              </w:rPr>
              <w:t>A4.1</w:t>
            </w:r>
            <w:r>
              <w:rPr>
                <w:noProof/>
                <w:kern w:val="2"/>
                <w:lang w:eastAsia="en-GB"/>
                <w14:ligatures w14:val="standardContextual"/>
              </w:rPr>
              <w:tab/>
            </w:r>
            <w:r w:rsidRPr="00A761E7">
              <w:rPr>
                <w:rStyle w:val="Hyperlink"/>
                <w:rFonts w:eastAsia="Times New Roman"/>
                <w:noProof/>
              </w:rPr>
              <w:t>Background</w:t>
            </w:r>
            <w:r>
              <w:rPr>
                <w:noProof/>
                <w:webHidden/>
              </w:rPr>
              <w:tab/>
            </w:r>
            <w:r>
              <w:rPr>
                <w:noProof/>
                <w:webHidden/>
              </w:rPr>
              <w:fldChar w:fldCharType="begin"/>
            </w:r>
            <w:r>
              <w:rPr>
                <w:noProof/>
                <w:webHidden/>
              </w:rPr>
              <w:instrText xml:space="preserve"> PAGEREF _Toc193716176 \h </w:instrText>
            </w:r>
            <w:r>
              <w:rPr>
                <w:noProof/>
                <w:webHidden/>
              </w:rPr>
            </w:r>
            <w:r>
              <w:rPr>
                <w:noProof/>
                <w:webHidden/>
              </w:rPr>
              <w:fldChar w:fldCharType="separate"/>
            </w:r>
            <w:r>
              <w:rPr>
                <w:noProof/>
                <w:webHidden/>
              </w:rPr>
              <w:t>49</w:t>
            </w:r>
            <w:r>
              <w:rPr>
                <w:noProof/>
                <w:webHidden/>
              </w:rPr>
              <w:fldChar w:fldCharType="end"/>
            </w:r>
          </w:hyperlink>
        </w:p>
        <w:p w14:paraId="65705D01" w14:textId="6AD3E27E" w:rsidR="005A69B7" w:rsidRDefault="005A69B7">
          <w:pPr>
            <w:pStyle w:val="TOC2"/>
            <w:tabs>
              <w:tab w:val="left" w:pos="960"/>
              <w:tab w:val="right" w:leader="dot" w:pos="10212"/>
            </w:tabs>
            <w:rPr>
              <w:noProof/>
              <w:kern w:val="2"/>
              <w:lang w:eastAsia="en-GB"/>
              <w14:ligatures w14:val="standardContextual"/>
            </w:rPr>
          </w:pPr>
          <w:hyperlink w:anchor="_Toc193716177" w:history="1">
            <w:r w:rsidRPr="00A761E7">
              <w:rPr>
                <w:rStyle w:val="Hyperlink"/>
                <w:rFonts w:eastAsia="Times New Roman"/>
                <w:noProof/>
              </w:rPr>
              <w:t>A4.2</w:t>
            </w:r>
            <w:r>
              <w:rPr>
                <w:noProof/>
                <w:kern w:val="2"/>
                <w:lang w:eastAsia="en-GB"/>
                <w14:ligatures w14:val="standardContextual"/>
              </w:rPr>
              <w:tab/>
            </w:r>
            <w:r w:rsidRPr="00A761E7">
              <w:rPr>
                <w:rStyle w:val="Hyperlink"/>
                <w:rFonts w:eastAsia="Times New Roman"/>
                <w:noProof/>
              </w:rPr>
              <w:t>Recommended approach</w:t>
            </w:r>
            <w:r>
              <w:rPr>
                <w:noProof/>
                <w:webHidden/>
              </w:rPr>
              <w:tab/>
            </w:r>
            <w:r>
              <w:rPr>
                <w:noProof/>
                <w:webHidden/>
              </w:rPr>
              <w:fldChar w:fldCharType="begin"/>
            </w:r>
            <w:r>
              <w:rPr>
                <w:noProof/>
                <w:webHidden/>
              </w:rPr>
              <w:instrText xml:space="preserve"> PAGEREF _Toc193716177 \h </w:instrText>
            </w:r>
            <w:r>
              <w:rPr>
                <w:noProof/>
                <w:webHidden/>
              </w:rPr>
            </w:r>
            <w:r>
              <w:rPr>
                <w:noProof/>
                <w:webHidden/>
              </w:rPr>
              <w:fldChar w:fldCharType="separate"/>
            </w:r>
            <w:r>
              <w:rPr>
                <w:noProof/>
                <w:webHidden/>
              </w:rPr>
              <w:t>49</w:t>
            </w:r>
            <w:r>
              <w:rPr>
                <w:noProof/>
                <w:webHidden/>
              </w:rPr>
              <w:fldChar w:fldCharType="end"/>
            </w:r>
          </w:hyperlink>
        </w:p>
        <w:p w14:paraId="22ACD0D9" w14:textId="09E5F4FF" w:rsidR="005A69B7" w:rsidRDefault="005A69B7">
          <w:pPr>
            <w:pStyle w:val="TOC3"/>
            <w:tabs>
              <w:tab w:val="left" w:pos="1440"/>
              <w:tab w:val="right" w:leader="dot" w:pos="10212"/>
            </w:tabs>
            <w:rPr>
              <w:noProof/>
              <w:kern w:val="2"/>
              <w:lang w:eastAsia="en-GB"/>
              <w14:ligatures w14:val="standardContextual"/>
            </w:rPr>
          </w:pPr>
          <w:hyperlink w:anchor="_Toc193716178" w:history="1">
            <w:r w:rsidRPr="00A761E7">
              <w:rPr>
                <w:rStyle w:val="Hyperlink"/>
                <w:rFonts w:eastAsia="Times New Roman"/>
                <w:noProof/>
              </w:rPr>
              <w:t>A4.2.1</w:t>
            </w:r>
            <w:r>
              <w:rPr>
                <w:noProof/>
                <w:kern w:val="2"/>
                <w:lang w:eastAsia="en-GB"/>
                <w14:ligatures w14:val="standardContextual"/>
              </w:rPr>
              <w:tab/>
            </w:r>
            <w:r w:rsidRPr="00A761E7">
              <w:rPr>
                <w:rStyle w:val="Hyperlink"/>
                <w:rFonts w:eastAsia="Times New Roman"/>
                <w:noProof/>
              </w:rPr>
              <w:t>Stage 1: Prior to site investigation</w:t>
            </w:r>
            <w:r>
              <w:rPr>
                <w:noProof/>
                <w:webHidden/>
              </w:rPr>
              <w:tab/>
            </w:r>
            <w:r>
              <w:rPr>
                <w:noProof/>
                <w:webHidden/>
              </w:rPr>
              <w:fldChar w:fldCharType="begin"/>
            </w:r>
            <w:r>
              <w:rPr>
                <w:noProof/>
                <w:webHidden/>
              </w:rPr>
              <w:instrText xml:space="preserve"> PAGEREF _Toc193716178 \h </w:instrText>
            </w:r>
            <w:r>
              <w:rPr>
                <w:noProof/>
                <w:webHidden/>
              </w:rPr>
            </w:r>
            <w:r>
              <w:rPr>
                <w:noProof/>
                <w:webHidden/>
              </w:rPr>
              <w:fldChar w:fldCharType="separate"/>
            </w:r>
            <w:r>
              <w:rPr>
                <w:noProof/>
                <w:webHidden/>
              </w:rPr>
              <w:t>50</w:t>
            </w:r>
            <w:r>
              <w:rPr>
                <w:noProof/>
                <w:webHidden/>
              </w:rPr>
              <w:fldChar w:fldCharType="end"/>
            </w:r>
          </w:hyperlink>
        </w:p>
        <w:p w14:paraId="5AD4D45F" w14:textId="29A667BD" w:rsidR="005A69B7" w:rsidRDefault="005A69B7">
          <w:pPr>
            <w:pStyle w:val="TOC3"/>
            <w:tabs>
              <w:tab w:val="left" w:pos="1440"/>
              <w:tab w:val="right" w:leader="dot" w:pos="10212"/>
            </w:tabs>
            <w:rPr>
              <w:noProof/>
              <w:kern w:val="2"/>
              <w:lang w:eastAsia="en-GB"/>
              <w14:ligatures w14:val="standardContextual"/>
            </w:rPr>
          </w:pPr>
          <w:hyperlink w:anchor="_Toc193716179" w:history="1">
            <w:r w:rsidRPr="00A761E7">
              <w:rPr>
                <w:rStyle w:val="Hyperlink"/>
                <w:rFonts w:eastAsia="Times New Roman"/>
                <w:noProof/>
              </w:rPr>
              <w:t>A4.2.2</w:t>
            </w:r>
            <w:r>
              <w:rPr>
                <w:noProof/>
                <w:kern w:val="2"/>
                <w:lang w:eastAsia="en-GB"/>
                <w14:ligatures w14:val="standardContextual"/>
              </w:rPr>
              <w:tab/>
            </w:r>
            <w:r w:rsidRPr="00A761E7">
              <w:rPr>
                <w:rStyle w:val="Hyperlink"/>
                <w:rFonts w:eastAsia="Times New Roman"/>
                <w:noProof/>
              </w:rPr>
              <w:t>Stage 2: Drilling/excavation to bedrock</w:t>
            </w:r>
            <w:r>
              <w:rPr>
                <w:noProof/>
                <w:webHidden/>
              </w:rPr>
              <w:tab/>
            </w:r>
            <w:r>
              <w:rPr>
                <w:noProof/>
                <w:webHidden/>
              </w:rPr>
              <w:fldChar w:fldCharType="begin"/>
            </w:r>
            <w:r>
              <w:rPr>
                <w:noProof/>
                <w:webHidden/>
              </w:rPr>
              <w:instrText xml:space="preserve"> PAGEREF _Toc193716179 \h </w:instrText>
            </w:r>
            <w:r>
              <w:rPr>
                <w:noProof/>
                <w:webHidden/>
              </w:rPr>
            </w:r>
            <w:r>
              <w:rPr>
                <w:noProof/>
                <w:webHidden/>
              </w:rPr>
              <w:fldChar w:fldCharType="separate"/>
            </w:r>
            <w:r>
              <w:rPr>
                <w:noProof/>
                <w:webHidden/>
              </w:rPr>
              <w:t>50</w:t>
            </w:r>
            <w:r>
              <w:rPr>
                <w:noProof/>
                <w:webHidden/>
              </w:rPr>
              <w:fldChar w:fldCharType="end"/>
            </w:r>
          </w:hyperlink>
        </w:p>
        <w:p w14:paraId="31E41B8D" w14:textId="29D834DD" w:rsidR="005A69B7" w:rsidRDefault="005A69B7">
          <w:pPr>
            <w:pStyle w:val="TOC3"/>
            <w:tabs>
              <w:tab w:val="left" w:pos="1440"/>
              <w:tab w:val="right" w:leader="dot" w:pos="10212"/>
            </w:tabs>
            <w:rPr>
              <w:noProof/>
              <w:kern w:val="2"/>
              <w:lang w:eastAsia="en-GB"/>
              <w14:ligatures w14:val="standardContextual"/>
            </w:rPr>
          </w:pPr>
          <w:hyperlink w:anchor="_Toc193716180" w:history="1">
            <w:r w:rsidRPr="00A761E7">
              <w:rPr>
                <w:rStyle w:val="Hyperlink"/>
                <w:rFonts w:eastAsia="Times New Roman"/>
                <w:noProof/>
              </w:rPr>
              <w:t>A4.2.3</w:t>
            </w:r>
            <w:r>
              <w:rPr>
                <w:noProof/>
                <w:kern w:val="2"/>
                <w:lang w:eastAsia="en-GB"/>
                <w14:ligatures w14:val="standardContextual"/>
              </w:rPr>
              <w:tab/>
            </w:r>
            <w:r w:rsidRPr="00A761E7">
              <w:rPr>
                <w:rStyle w:val="Hyperlink"/>
                <w:rFonts w:eastAsia="Times New Roman"/>
                <w:noProof/>
              </w:rPr>
              <w:t>Stage 3: Productivity testing</w:t>
            </w:r>
            <w:r>
              <w:rPr>
                <w:noProof/>
                <w:webHidden/>
              </w:rPr>
              <w:tab/>
            </w:r>
            <w:r>
              <w:rPr>
                <w:noProof/>
                <w:webHidden/>
              </w:rPr>
              <w:fldChar w:fldCharType="begin"/>
            </w:r>
            <w:r>
              <w:rPr>
                <w:noProof/>
                <w:webHidden/>
              </w:rPr>
              <w:instrText xml:space="preserve"> PAGEREF _Toc193716180 \h </w:instrText>
            </w:r>
            <w:r>
              <w:rPr>
                <w:noProof/>
                <w:webHidden/>
              </w:rPr>
            </w:r>
            <w:r>
              <w:rPr>
                <w:noProof/>
                <w:webHidden/>
              </w:rPr>
              <w:fldChar w:fldCharType="separate"/>
            </w:r>
            <w:r>
              <w:rPr>
                <w:noProof/>
                <w:webHidden/>
              </w:rPr>
              <w:t>51</w:t>
            </w:r>
            <w:r>
              <w:rPr>
                <w:noProof/>
                <w:webHidden/>
              </w:rPr>
              <w:fldChar w:fldCharType="end"/>
            </w:r>
          </w:hyperlink>
        </w:p>
        <w:p w14:paraId="1701BE4D" w14:textId="3DC75CC7" w:rsidR="005A69B7" w:rsidRDefault="005A69B7">
          <w:pPr>
            <w:pStyle w:val="TOC1"/>
            <w:tabs>
              <w:tab w:val="right" w:leader="dot" w:pos="10212"/>
            </w:tabs>
            <w:rPr>
              <w:noProof/>
              <w:kern w:val="2"/>
              <w:lang w:eastAsia="en-GB"/>
              <w14:ligatures w14:val="standardContextual"/>
            </w:rPr>
          </w:pPr>
          <w:hyperlink w:anchor="_Toc193716181" w:history="1">
            <w:r w:rsidRPr="00A761E7">
              <w:rPr>
                <w:rStyle w:val="Hyperlink"/>
                <w:noProof/>
              </w:rPr>
              <w:t>Glossary</w:t>
            </w:r>
            <w:r>
              <w:rPr>
                <w:noProof/>
                <w:webHidden/>
              </w:rPr>
              <w:tab/>
            </w:r>
            <w:r>
              <w:rPr>
                <w:noProof/>
                <w:webHidden/>
              </w:rPr>
              <w:fldChar w:fldCharType="begin"/>
            </w:r>
            <w:r>
              <w:rPr>
                <w:noProof/>
                <w:webHidden/>
              </w:rPr>
              <w:instrText xml:space="preserve"> PAGEREF _Toc193716181 \h </w:instrText>
            </w:r>
            <w:r>
              <w:rPr>
                <w:noProof/>
                <w:webHidden/>
              </w:rPr>
            </w:r>
            <w:r>
              <w:rPr>
                <w:noProof/>
                <w:webHidden/>
              </w:rPr>
              <w:fldChar w:fldCharType="separate"/>
            </w:r>
            <w:r>
              <w:rPr>
                <w:noProof/>
                <w:webHidden/>
              </w:rPr>
              <w:t>52</w:t>
            </w:r>
            <w:r>
              <w:rPr>
                <w:noProof/>
                <w:webHidden/>
              </w:rPr>
              <w:fldChar w:fldCharType="end"/>
            </w:r>
          </w:hyperlink>
        </w:p>
        <w:p w14:paraId="38EE4DCA" w14:textId="4A7B0A6E" w:rsidR="005A69B7" w:rsidRDefault="005A69B7">
          <w:pPr>
            <w:pStyle w:val="TOC1"/>
            <w:tabs>
              <w:tab w:val="right" w:leader="dot" w:pos="10212"/>
            </w:tabs>
            <w:rPr>
              <w:noProof/>
              <w:kern w:val="2"/>
              <w:lang w:eastAsia="en-GB"/>
              <w14:ligatures w14:val="standardContextual"/>
            </w:rPr>
          </w:pPr>
          <w:hyperlink w:anchor="_Toc193716182" w:history="1">
            <w:r w:rsidRPr="00A761E7">
              <w:rPr>
                <w:rStyle w:val="Hyperlink"/>
                <w:noProof/>
              </w:rPr>
              <w:t>Disclaimer</w:t>
            </w:r>
            <w:r>
              <w:rPr>
                <w:noProof/>
                <w:webHidden/>
              </w:rPr>
              <w:tab/>
            </w:r>
            <w:r>
              <w:rPr>
                <w:noProof/>
                <w:webHidden/>
              </w:rPr>
              <w:fldChar w:fldCharType="begin"/>
            </w:r>
            <w:r>
              <w:rPr>
                <w:noProof/>
                <w:webHidden/>
              </w:rPr>
              <w:instrText xml:space="preserve"> PAGEREF _Toc193716182 \h </w:instrText>
            </w:r>
            <w:r>
              <w:rPr>
                <w:noProof/>
                <w:webHidden/>
              </w:rPr>
            </w:r>
            <w:r>
              <w:rPr>
                <w:noProof/>
                <w:webHidden/>
              </w:rPr>
              <w:fldChar w:fldCharType="separate"/>
            </w:r>
            <w:r>
              <w:rPr>
                <w:noProof/>
                <w:webHidden/>
              </w:rPr>
              <w:t>52</w:t>
            </w:r>
            <w:r>
              <w:rPr>
                <w:noProof/>
                <w:webHidden/>
              </w:rPr>
              <w:fldChar w:fldCharType="end"/>
            </w:r>
          </w:hyperlink>
        </w:p>
        <w:p w14:paraId="717EC5E9" w14:textId="292B129B" w:rsidR="004E6298" w:rsidRDefault="00C8601A" w:rsidP="004E6298">
          <w:pPr>
            <w:rPr>
              <w:b/>
              <w:bCs/>
              <w:noProof/>
            </w:rPr>
          </w:pPr>
          <w:r>
            <w:rPr>
              <w:b/>
              <w:bCs/>
              <w:noProof/>
            </w:rPr>
            <w:fldChar w:fldCharType="end"/>
          </w:r>
        </w:p>
      </w:sdtContent>
    </w:sdt>
    <w:p w14:paraId="3DDFEA56" w14:textId="77777777" w:rsidR="00DC7BE6" w:rsidRDefault="00DC7BE6" w:rsidP="004E6298">
      <w:pPr>
        <w:rPr>
          <w:rFonts w:eastAsia="Times New Roman"/>
          <w:sz w:val="32"/>
          <w:szCs w:val="32"/>
        </w:rPr>
      </w:pPr>
    </w:p>
    <w:p w14:paraId="41FC83CC" w14:textId="77777777" w:rsidR="00DC7BE6" w:rsidRDefault="00DC7BE6" w:rsidP="004E6298">
      <w:pPr>
        <w:rPr>
          <w:rFonts w:eastAsia="Times New Roman"/>
          <w:sz w:val="32"/>
          <w:szCs w:val="32"/>
        </w:rPr>
      </w:pPr>
    </w:p>
    <w:p w14:paraId="082547D2" w14:textId="522DCC1E" w:rsidR="004E6298" w:rsidRPr="004E6298" w:rsidRDefault="004E6298" w:rsidP="004E6298">
      <w:r w:rsidRPr="00D366C4">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D366C4">
          <w:rPr>
            <w:rFonts w:eastAsia="Times New Roman"/>
            <w:color w:val="016574" w:themeColor="hyperlink"/>
            <w:sz w:val="32"/>
            <w:szCs w:val="32"/>
            <w:u w:val="single"/>
          </w:rPr>
          <w:t>equalities@sepa.org.uk</w:t>
        </w:r>
      </w:hyperlink>
      <w:r w:rsidRPr="00D366C4">
        <w:rPr>
          <w:rFonts w:eastAsia="Times New Roman"/>
          <w:sz w:val="32"/>
          <w:szCs w:val="32"/>
        </w:rPr>
        <w:t xml:space="preserve"> </w:t>
      </w:r>
    </w:p>
    <w:p w14:paraId="3D75E9A3" w14:textId="77777777" w:rsidR="004C2C5A" w:rsidRDefault="004C2C5A" w:rsidP="004C2C5A"/>
    <w:p w14:paraId="5246BF1B" w14:textId="3032D4EA" w:rsidR="00684F5A" w:rsidRDefault="00AE011B" w:rsidP="00C75AA3">
      <w:pPr>
        <w:pStyle w:val="Heading1"/>
        <w:numPr>
          <w:ilvl w:val="0"/>
          <w:numId w:val="62"/>
        </w:numPr>
        <w:ind w:hanging="720"/>
        <w:rPr>
          <w:rFonts w:eastAsia="Times New Roman"/>
        </w:rPr>
      </w:pPr>
      <w:bookmarkStart w:id="0" w:name="_Toc193716119"/>
      <w:r>
        <w:rPr>
          <w:rFonts w:eastAsia="Times New Roman"/>
        </w:rPr>
        <w:lastRenderedPageBreak/>
        <w:t>Purpose and scope</w:t>
      </w:r>
      <w:bookmarkEnd w:id="0"/>
    </w:p>
    <w:p w14:paraId="72C809CE" w14:textId="214589A9" w:rsidR="009F3145" w:rsidRPr="009F3145" w:rsidRDefault="009F3145" w:rsidP="00C75AA3">
      <w:pPr>
        <w:pStyle w:val="BodyText1"/>
        <w:rPr>
          <w:rFonts w:ascii="Segoe UI" w:hAnsi="Segoe UI" w:cs="Segoe UI"/>
          <w:color w:val="000000"/>
        </w:rPr>
      </w:pPr>
      <w:r w:rsidRPr="009F3145">
        <w:rPr>
          <w:rStyle w:val="normaltextrun"/>
          <w:rFonts w:ascii="Arial" w:eastAsiaTheme="majorEastAsia" w:hAnsi="Arial" w:cs="Arial"/>
          <w:color w:val="000000"/>
        </w:rPr>
        <w:t>Th</w:t>
      </w:r>
      <w:r w:rsidR="00DA281E">
        <w:rPr>
          <w:rStyle w:val="normaltextrun"/>
          <w:rFonts w:ascii="Arial" w:eastAsiaTheme="majorEastAsia" w:hAnsi="Arial" w:cs="Arial"/>
          <w:color w:val="000000"/>
        </w:rPr>
        <w:t xml:space="preserve">e purpose of this </w:t>
      </w:r>
      <w:r w:rsidR="00816B67">
        <w:rPr>
          <w:rStyle w:val="normaltextrun"/>
          <w:rFonts w:ascii="Arial" w:eastAsiaTheme="majorEastAsia" w:hAnsi="Arial" w:cs="Arial"/>
          <w:color w:val="000000"/>
        </w:rPr>
        <w:t>guidance</w:t>
      </w:r>
      <w:r w:rsidRPr="009F3145">
        <w:rPr>
          <w:rStyle w:val="normaltextrun"/>
          <w:rFonts w:ascii="Arial" w:eastAsiaTheme="majorEastAsia" w:hAnsi="Arial" w:cs="Arial"/>
          <w:color w:val="000000"/>
        </w:rPr>
        <w:t xml:space="preserve"> </w:t>
      </w:r>
      <w:r w:rsidR="005E0EF0">
        <w:rPr>
          <w:rStyle w:val="normaltextrun"/>
          <w:rFonts w:ascii="Arial" w:eastAsiaTheme="majorEastAsia" w:hAnsi="Arial" w:cs="Arial"/>
          <w:color w:val="000000"/>
        </w:rPr>
        <w:t xml:space="preserve">is to </w:t>
      </w:r>
      <w:r w:rsidRPr="009F3145">
        <w:rPr>
          <w:rStyle w:val="normaltextrun"/>
          <w:rFonts w:ascii="Arial" w:eastAsiaTheme="majorEastAsia" w:hAnsi="Arial" w:cs="Arial"/>
          <w:color w:val="000000"/>
        </w:rPr>
        <w:t>set out: </w:t>
      </w:r>
      <w:r w:rsidRPr="009F3145">
        <w:rPr>
          <w:rStyle w:val="eop"/>
          <w:rFonts w:ascii="Arial" w:hAnsi="Arial" w:cs="Arial"/>
          <w:color w:val="000000"/>
        </w:rPr>
        <w:t> </w:t>
      </w:r>
    </w:p>
    <w:p w14:paraId="7F2D1EF1" w14:textId="03BEDD42" w:rsidR="009F3145" w:rsidRPr="009F3145" w:rsidRDefault="009447C3" w:rsidP="00C75AA3">
      <w:pPr>
        <w:pStyle w:val="BodyText1"/>
        <w:numPr>
          <w:ilvl w:val="0"/>
          <w:numId w:val="63"/>
        </w:numPr>
        <w:rPr>
          <w:rFonts w:ascii="Arial" w:hAnsi="Arial" w:cs="Arial"/>
          <w:color w:val="000000"/>
        </w:rPr>
      </w:pPr>
      <w:r>
        <w:rPr>
          <w:rStyle w:val="normaltextrun"/>
          <w:rFonts w:ascii="Arial" w:eastAsiaTheme="majorEastAsia" w:hAnsi="Arial" w:cs="Arial"/>
          <w:color w:val="000000"/>
        </w:rPr>
        <w:t>The</w:t>
      </w:r>
      <w:r w:rsidRPr="009F3145">
        <w:rPr>
          <w:rStyle w:val="normaltextrun"/>
          <w:rFonts w:ascii="Arial" w:eastAsiaTheme="majorEastAsia" w:hAnsi="Arial" w:cs="Arial"/>
          <w:color w:val="000000"/>
        </w:rPr>
        <w:t xml:space="preserve"> </w:t>
      </w:r>
      <w:r w:rsidR="009F3145" w:rsidRPr="009F3145">
        <w:rPr>
          <w:rStyle w:val="normaltextrun"/>
          <w:rFonts w:ascii="Arial" w:eastAsiaTheme="majorEastAsia" w:hAnsi="Arial" w:cs="Arial"/>
          <w:color w:val="000000"/>
        </w:rPr>
        <w:t>objectives for protecting and improving groundwater quality</w:t>
      </w:r>
      <w:r w:rsidR="00061D03">
        <w:rPr>
          <w:rStyle w:val="normaltextrun"/>
          <w:rFonts w:ascii="Arial" w:eastAsiaTheme="majorEastAsia" w:hAnsi="Arial" w:cs="Arial"/>
          <w:color w:val="000000"/>
        </w:rPr>
        <w:t>.</w:t>
      </w:r>
      <w:r w:rsidR="009F3145" w:rsidRPr="009F3145">
        <w:rPr>
          <w:rStyle w:val="normaltextrun"/>
          <w:rFonts w:ascii="Arial" w:eastAsiaTheme="majorEastAsia" w:hAnsi="Arial" w:cs="Arial"/>
          <w:color w:val="000000"/>
        </w:rPr>
        <w:t> </w:t>
      </w:r>
      <w:r w:rsidR="009F3145" w:rsidRPr="009F3145">
        <w:rPr>
          <w:rStyle w:val="eop"/>
          <w:rFonts w:ascii="Arial" w:hAnsi="Arial" w:cs="Arial"/>
          <w:color w:val="000000"/>
        </w:rPr>
        <w:t> </w:t>
      </w:r>
    </w:p>
    <w:p w14:paraId="0108EE2E" w14:textId="4C3ADDAE" w:rsidR="009F3145" w:rsidRPr="009F3145" w:rsidRDefault="009F3145" w:rsidP="00C75AA3">
      <w:pPr>
        <w:pStyle w:val="BodyText1"/>
        <w:numPr>
          <w:ilvl w:val="0"/>
          <w:numId w:val="63"/>
        </w:numPr>
        <w:rPr>
          <w:rFonts w:ascii="Arial" w:hAnsi="Arial" w:cs="Arial"/>
          <w:color w:val="000000"/>
        </w:rPr>
      </w:pPr>
      <w:r w:rsidRPr="009F3145">
        <w:rPr>
          <w:rStyle w:val="normaltextrun"/>
          <w:rFonts w:ascii="Arial" w:eastAsiaTheme="majorEastAsia" w:hAnsi="Arial" w:cs="Arial"/>
          <w:color w:val="000000"/>
        </w:rPr>
        <w:t xml:space="preserve">Criteria </w:t>
      </w:r>
      <w:r w:rsidR="002406D3">
        <w:rPr>
          <w:rStyle w:val="normaltextrun"/>
          <w:rFonts w:ascii="Arial" w:eastAsiaTheme="majorEastAsia" w:hAnsi="Arial" w:cs="Arial"/>
          <w:color w:val="000000"/>
        </w:rPr>
        <w:t>to</w:t>
      </w:r>
      <w:r w:rsidRPr="009F3145">
        <w:rPr>
          <w:rStyle w:val="normaltextrun"/>
          <w:rFonts w:ascii="Arial" w:eastAsiaTheme="majorEastAsia" w:hAnsi="Arial" w:cs="Arial"/>
          <w:color w:val="000000"/>
        </w:rPr>
        <w:t xml:space="preserve"> assess if these objectives are met</w:t>
      </w:r>
      <w:r w:rsidR="00061D03">
        <w:rPr>
          <w:rStyle w:val="normaltextrun"/>
          <w:rFonts w:ascii="Arial" w:eastAsiaTheme="majorEastAsia" w:hAnsi="Arial" w:cs="Arial"/>
          <w:color w:val="000000"/>
        </w:rPr>
        <w:t>.</w:t>
      </w:r>
      <w:r w:rsidRPr="009F3145">
        <w:rPr>
          <w:rStyle w:val="normaltextrun"/>
          <w:rFonts w:ascii="Arial" w:eastAsiaTheme="majorEastAsia" w:hAnsi="Arial" w:cs="Arial"/>
          <w:color w:val="000000"/>
        </w:rPr>
        <w:t> </w:t>
      </w:r>
      <w:r w:rsidRPr="009F3145">
        <w:rPr>
          <w:rStyle w:val="eop"/>
          <w:rFonts w:ascii="Arial" w:hAnsi="Arial" w:cs="Arial"/>
          <w:color w:val="000000"/>
        </w:rPr>
        <w:t> </w:t>
      </w:r>
    </w:p>
    <w:p w14:paraId="4EA5FA1B" w14:textId="72231DFF" w:rsidR="009F3145" w:rsidRPr="009F3145" w:rsidRDefault="002406D3" w:rsidP="00C75AA3">
      <w:pPr>
        <w:pStyle w:val="BodyText1"/>
        <w:numPr>
          <w:ilvl w:val="0"/>
          <w:numId w:val="63"/>
        </w:numPr>
        <w:rPr>
          <w:rFonts w:ascii="Arial" w:hAnsi="Arial" w:cs="Arial"/>
          <w:color w:val="000000"/>
        </w:rPr>
      </w:pPr>
      <w:r>
        <w:rPr>
          <w:rStyle w:val="normaltextrun"/>
          <w:rFonts w:ascii="Arial" w:eastAsiaTheme="majorEastAsia" w:hAnsi="Arial" w:cs="Arial"/>
          <w:color w:val="000000"/>
        </w:rPr>
        <w:t>The</w:t>
      </w:r>
      <w:r w:rsidR="009F3145" w:rsidRPr="009F3145">
        <w:rPr>
          <w:rStyle w:val="normaltextrun"/>
          <w:rFonts w:ascii="Arial" w:eastAsiaTheme="majorEastAsia" w:hAnsi="Arial" w:cs="Arial"/>
          <w:color w:val="000000"/>
        </w:rPr>
        <w:t xml:space="preserve"> approach </w:t>
      </w:r>
      <w:r>
        <w:rPr>
          <w:rStyle w:val="normaltextrun"/>
          <w:rFonts w:ascii="Arial" w:eastAsiaTheme="majorEastAsia" w:hAnsi="Arial" w:cs="Arial"/>
          <w:color w:val="000000"/>
        </w:rPr>
        <w:t xml:space="preserve">that </w:t>
      </w:r>
      <w:r w:rsidR="006104DF">
        <w:rPr>
          <w:rStyle w:val="normaltextrun"/>
          <w:rFonts w:ascii="Arial" w:eastAsiaTheme="majorEastAsia" w:hAnsi="Arial" w:cs="Arial"/>
          <w:color w:val="000000"/>
        </w:rPr>
        <w:t>you should</w:t>
      </w:r>
      <w:r>
        <w:rPr>
          <w:rStyle w:val="normaltextrun"/>
          <w:rFonts w:ascii="Arial" w:eastAsiaTheme="majorEastAsia" w:hAnsi="Arial" w:cs="Arial"/>
          <w:color w:val="000000"/>
        </w:rPr>
        <w:t xml:space="preserve"> take </w:t>
      </w:r>
      <w:r w:rsidR="009F3145" w:rsidRPr="009F3145">
        <w:rPr>
          <w:rStyle w:val="normaltextrun"/>
          <w:rFonts w:ascii="Arial" w:eastAsiaTheme="majorEastAsia" w:hAnsi="Arial" w:cs="Arial"/>
          <w:color w:val="000000"/>
        </w:rPr>
        <w:t>to demonstrating compliance with the objectives</w:t>
      </w:r>
      <w:r w:rsidR="00061D03">
        <w:rPr>
          <w:rStyle w:val="normaltextrun"/>
          <w:rFonts w:ascii="Arial" w:eastAsiaTheme="majorEastAsia" w:hAnsi="Arial" w:cs="Arial"/>
          <w:color w:val="000000"/>
        </w:rPr>
        <w:t>.</w:t>
      </w:r>
      <w:r w:rsidR="009F3145" w:rsidRPr="009F3145" w:rsidDel="00061D03">
        <w:rPr>
          <w:rStyle w:val="normaltextrun"/>
          <w:rFonts w:ascii="Arial" w:eastAsiaTheme="majorEastAsia" w:hAnsi="Arial" w:cs="Arial"/>
          <w:color w:val="000000"/>
        </w:rPr>
        <w:t> </w:t>
      </w:r>
      <w:r w:rsidR="009F3145" w:rsidRPr="009F3145">
        <w:rPr>
          <w:rStyle w:val="eop"/>
          <w:rFonts w:ascii="Arial" w:hAnsi="Arial" w:cs="Arial"/>
          <w:color w:val="000000"/>
        </w:rPr>
        <w:t> </w:t>
      </w:r>
    </w:p>
    <w:p w14:paraId="5078BBC5" w14:textId="72449663" w:rsidR="009F3145" w:rsidRPr="009F3145" w:rsidRDefault="009F3145" w:rsidP="00C75AA3">
      <w:pPr>
        <w:pStyle w:val="BodyText1"/>
        <w:numPr>
          <w:ilvl w:val="0"/>
          <w:numId w:val="63"/>
        </w:numPr>
        <w:rPr>
          <w:rFonts w:ascii="Arial" w:hAnsi="Arial" w:cs="Arial"/>
          <w:color w:val="000000"/>
        </w:rPr>
      </w:pPr>
      <w:r w:rsidRPr="009F3145">
        <w:rPr>
          <w:rStyle w:val="normaltextrun"/>
          <w:rFonts w:ascii="Arial" w:eastAsiaTheme="majorEastAsia" w:hAnsi="Arial" w:cs="Arial"/>
          <w:color w:val="000000"/>
        </w:rPr>
        <w:t>The circumstances in which the groundwater objectives do not need to be met.  </w:t>
      </w:r>
      <w:r w:rsidRPr="009F3145">
        <w:rPr>
          <w:rStyle w:val="eop"/>
          <w:rFonts w:ascii="Arial" w:hAnsi="Arial" w:cs="Arial"/>
          <w:color w:val="000000"/>
        </w:rPr>
        <w:t> </w:t>
      </w:r>
    </w:p>
    <w:p w14:paraId="7798471D" w14:textId="45C082A2" w:rsidR="003857F8" w:rsidRDefault="009F3145" w:rsidP="00C75AA3">
      <w:pPr>
        <w:pStyle w:val="BodyText1"/>
        <w:rPr>
          <w:rStyle w:val="normaltextrun"/>
          <w:rFonts w:ascii="Arial" w:eastAsiaTheme="majorEastAsia" w:hAnsi="Arial" w:cs="Arial"/>
          <w:color w:val="000000"/>
        </w:rPr>
      </w:pPr>
      <w:r w:rsidRPr="009F3145">
        <w:rPr>
          <w:rStyle w:val="normaltextrun"/>
          <w:rFonts w:ascii="Arial" w:eastAsiaTheme="majorEastAsia" w:hAnsi="Arial" w:cs="Arial"/>
          <w:color w:val="000000"/>
        </w:rPr>
        <w:t xml:space="preserve">This </w:t>
      </w:r>
      <w:r w:rsidR="003857F8">
        <w:rPr>
          <w:rStyle w:val="normaltextrun"/>
          <w:rFonts w:ascii="Arial" w:eastAsiaTheme="majorEastAsia" w:hAnsi="Arial" w:cs="Arial"/>
          <w:color w:val="000000"/>
        </w:rPr>
        <w:t>guidance</w:t>
      </w:r>
      <w:r w:rsidRPr="009F3145">
        <w:rPr>
          <w:rStyle w:val="normaltextrun"/>
          <w:rFonts w:ascii="Arial" w:eastAsiaTheme="majorEastAsia" w:hAnsi="Arial" w:cs="Arial"/>
          <w:color w:val="000000"/>
        </w:rPr>
        <w:t xml:space="preserve"> applies to all activities, both existing and new, and to all pollutants that </w:t>
      </w:r>
      <w:r w:rsidR="005E0EF0">
        <w:rPr>
          <w:rStyle w:val="normaltextrun"/>
          <w:rFonts w:ascii="Arial" w:eastAsiaTheme="majorEastAsia" w:hAnsi="Arial" w:cs="Arial"/>
          <w:color w:val="000000"/>
        </w:rPr>
        <w:t xml:space="preserve">could </w:t>
      </w:r>
      <w:r w:rsidRPr="00C75AA3">
        <w:rPr>
          <w:rStyle w:val="normaltextrun"/>
          <w:rFonts w:ascii="Arial" w:eastAsiaTheme="majorEastAsia" w:hAnsi="Arial" w:cs="Arial"/>
        </w:rPr>
        <w:t>potentially impact on groundwater. </w:t>
      </w:r>
      <w:r w:rsidRPr="00C75AA3">
        <w:rPr>
          <w:rStyle w:val="eop"/>
          <w:rFonts w:ascii="Arial" w:hAnsi="Arial" w:cs="Arial"/>
        </w:rPr>
        <w:t> </w:t>
      </w:r>
    </w:p>
    <w:p w14:paraId="2D53D028" w14:textId="70C0BAD8" w:rsidR="009F3145" w:rsidRPr="00DF7F3E" w:rsidRDefault="009F3145" w:rsidP="00DF7F3E">
      <w:pPr>
        <w:pStyle w:val="BodyText1"/>
        <w:rPr>
          <w:rStyle w:val="eop"/>
          <w:rFonts w:ascii="Segoe UI" w:hAnsi="Segoe UI" w:cs="Segoe UI"/>
          <w:color w:val="000000"/>
        </w:rPr>
      </w:pPr>
      <w:r w:rsidRPr="009F3145">
        <w:rPr>
          <w:rStyle w:val="normaltextrun"/>
          <w:rFonts w:ascii="Arial" w:eastAsiaTheme="majorEastAsia" w:hAnsi="Arial" w:cs="Arial"/>
          <w:color w:val="000000"/>
        </w:rPr>
        <w:t xml:space="preserve">This </w:t>
      </w:r>
      <w:r w:rsidR="003857F8">
        <w:rPr>
          <w:rStyle w:val="normaltextrun"/>
          <w:rFonts w:ascii="Arial" w:eastAsiaTheme="majorEastAsia" w:hAnsi="Arial" w:cs="Arial"/>
          <w:color w:val="000000"/>
        </w:rPr>
        <w:t>guidance</w:t>
      </w:r>
      <w:r w:rsidRPr="009F3145">
        <w:rPr>
          <w:rStyle w:val="normaltextrun"/>
          <w:rFonts w:ascii="Arial" w:eastAsiaTheme="majorEastAsia" w:hAnsi="Arial" w:cs="Arial"/>
          <w:color w:val="000000"/>
        </w:rPr>
        <w:t xml:space="preserve"> does not apply to unauthorised inputs into groundwater such as recent spills or leaks. This is because there is a prohibition under </w:t>
      </w:r>
      <w:r w:rsidR="009A0AA2" w:rsidRPr="009A0AA2">
        <w:rPr>
          <w:rFonts w:eastAsia="Arial"/>
          <w:lang w:val="en-US"/>
        </w:rPr>
        <w:t>The Environmental Authorisations (Scotland) Regulations</w:t>
      </w:r>
      <w:r w:rsidRPr="009F3145">
        <w:rPr>
          <w:rStyle w:val="normaltextrun"/>
          <w:rFonts w:ascii="Arial" w:eastAsiaTheme="majorEastAsia" w:hAnsi="Arial" w:cs="Arial"/>
          <w:color w:val="000000"/>
        </w:rPr>
        <w:t xml:space="preserve"> </w:t>
      </w:r>
      <w:r w:rsidR="009A0AA2">
        <w:rPr>
          <w:rStyle w:val="normaltextrun"/>
          <w:rFonts w:ascii="Arial" w:eastAsiaTheme="majorEastAsia" w:hAnsi="Arial" w:cs="Arial"/>
          <w:color w:val="000000"/>
        </w:rPr>
        <w:t>(</w:t>
      </w:r>
      <w:r w:rsidR="00DF7F3E">
        <w:rPr>
          <w:rStyle w:val="normaltextrun"/>
          <w:rFonts w:ascii="Arial" w:eastAsiaTheme="majorEastAsia" w:hAnsi="Arial" w:cs="Arial"/>
          <w:color w:val="000000"/>
        </w:rPr>
        <w:t xml:space="preserve">EASR) </w:t>
      </w:r>
      <w:r w:rsidRPr="009F3145">
        <w:rPr>
          <w:rStyle w:val="normaltextrun"/>
          <w:rFonts w:ascii="Arial" w:eastAsiaTheme="majorEastAsia" w:hAnsi="Arial" w:cs="Arial"/>
          <w:color w:val="000000"/>
        </w:rPr>
        <w:t xml:space="preserve">on the input of pollutants into groundwater without authorisation. </w:t>
      </w:r>
      <w:r w:rsidR="002016AD" w:rsidRPr="002016AD">
        <w:rPr>
          <w:rFonts w:ascii="Arial" w:eastAsiaTheme="majorEastAsia" w:hAnsi="Arial" w:cs="Arial"/>
          <w:color w:val="000000"/>
        </w:rPr>
        <w:t xml:space="preserve">Therefore, any input, such as a leaking tank or a detection of pollutants in groundwater, which can be attributed to the unauthorised activity, </w:t>
      </w:r>
      <w:r w:rsidR="00E35ECE">
        <w:rPr>
          <w:rFonts w:ascii="Arial" w:eastAsiaTheme="majorEastAsia" w:hAnsi="Arial" w:cs="Arial"/>
          <w:color w:val="000000"/>
        </w:rPr>
        <w:t xml:space="preserve">may be evidence of </w:t>
      </w:r>
      <w:r w:rsidR="002016AD" w:rsidRPr="002016AD">
        <w:rPr>
          <w:rFonts w:ascii="Arial" w:eastAsiaTheme="majorEastAsia" w:hAnsi="Arial" w:cs="Arial"/>
          <w:color w:val="000000"/>
        </w:rPr>
        <w:t xml:space="preserve">a breach of </w:t>
      </w:r>
      <w:r w:rsidR="00F73A51">
        <w:rPr>
          <w:rFonts w:ascii="Arial" w:eastAsiaTheme="majorEastAsia" w:hAnsi="Arial" w:cs="Arial"/>
          <w:color w:val="000000"/>
        </w:rPr>
        <w:t>EASR</w:t>
      </w:r>
      <w:r w:rsidR="002016AD" w:rsidRPr="002016AD">
        <w:rPr>
          <w:rFonts w:ascii="Arial" w:eastAsiaTheme="majorEastAsia" w:hAnsi="Arial" w:cs="Arial"/>
          <w:color w:val="000000"/>
        </w:rPr>
        <w:t>. </w:t>
      </w:r>
    </w:p>
    <w:p w14:paraId="1E58C9DF" w14:textId="0EA0BFDD" w:rsidR="009F3145" w:rsidRDefault="002D5475" w:rsidP="00C75AA3">
      <w:pPr>
        <w:pStyle w:val="Heading1"/>
        <w:numPr>
          <w:ilvl w:val="0"/>
          <w:numId w:val="62"/>
        </w:numPr>
        <w:ind w:hanging="720"/>
        <w:rPr>
          <w:rFonts w:eastAsia="Times New Roman"/>
        </w:rPr>
      </w:pPr>
      <w:bookmarkStart w:id="1" w:name="_Toc193716120"/>
      <w:r>
        <w:rPr>
          <w:rFonts w:eastAsia="Times New Roman"/>
        </w:rPr>
        <w:t>O</w:t>
      </w:r>
      <w:r w:rsidR="009F3145">
        <w:rPr>
          <w:rFonts w:eastAsia="Times New Roman"/>
        </w:rPr>
        <w:t>bjectives for groundwater quality</w:t>
      </w:r>
      <w:bookmarkEnd w:id="1"/>
      <w:r w:rsidR="009F3145">
        <w:rPr>
          <w:rFonts w:eastAsia="Times New Roman"/>
        </w:rPr>
        <w:t xml:space="preserve"> </w:t>
      </w:r>
    </w:p>
    <w:p w14:paraId="5460BDA8" w14:textId="47ED495E" w:rsidR="009F3145" w:rsidRPr="00C75AA3" w:rsidRDefault="00EE6C5C" w:rsidP="00C75AA3">
      <w:pPr>
        <w:pStyle w:val="BodyText1"/>
      </w:pPr>
      <w:r>
        <w:t>The legislative</w:t>
      </w:r>
      <w:r w:rsidRPr="00C75AA3">
        <w:t xml:space="preserve"> </w:t>
      </w:r>
      <w:r w:rsidR="009F3145" w:rsidRPr="00C75AA3">
        <w:t xml:space="preserve">objectives </w:t>
      </w:r>
      <w:r w:rsidR="00E56DC6" w:rsidRPr="00C75AA3">
        <w:t>for groundwater quality are</w:t>
      </w:r>
      <w:r w:rsidR="0038736E">
        <w:t xml:space="preserve"> to</w:t>
      </w:r>
      <w:r w:rsidR="00E56DC6" w:rsidRPr="00C75AA3">
        <w:t>:</w:t>
      </w:r>
    </w:p>
    <w:p w14:paraId="27E9D00A" w14:textId="7426FDA8" w:rsidR="00E56DC6" w:rsidRPr="00E56DC6" w:rsidRDefault="00E56DC6" w:rsidP="00C75AA3">
      <w:pPr>
        <w:pStyle w:val="BodyText1"/>
        <w:numPr>
          <w:ilvl w:val="0"/>
          <w:numId w:val="102"/>
        </w:numPr>
      </w:pPr>
      <w:r w:rsidRPr="00E56DC6">
        <w:t>Control inputs of hazardous substances</w:t>
      </w:r>
      <w:r w:rsidR="00F73A51">
        <w:t>.</w:t>
      </w:r>
    </w:p>
    <w:p w14:paraId="3929302F" w14:textId="16DDFD0F" w:rsidR="00E56DC6" w:rsidRPr="00E56DC6" w:rsidRDefault="00E56DC6" w:rsidP="00C75AA3">
      <w:pPr>
        <w:pStyle w:val="BodyText1"/>
        <w:numPr>
          <w:ilvl w:val="0"/>
          <w:numId w:val="102"/>
        </w:numPr>
      </w:pPr>
      <w:r w:rsidRPr="00E56DC6">
        <w:t>Limit inputs of non-hazardous substances</w:t>
      </w:r>
      <w:r w:rsidR="00F73A51">
        <w:t>.</w:t>
      </w:r>
      <w:r w:rsidRPr="00E56DC6">
        <w:t xml:space="preserve"> </w:t>
      </w:r>
    </w:p>
    <w:p w14:paraId="7B934FEC" w14:textId="5D41F8FF" w:rsidR="00E56DC6" w:rsidRPr="00E56DC6" w:rsidRDefault="00E56DC6" w:rsidP="00C75AA3">
      <w:pPr>
        <w:pStyle w:val="BodyText1"/>
        <w:numPr>
          <w:ilvl w:val="0"/>
          <w:numId w:val="102"/>
        </w:numPr>
      </w:pPr>
      <w:r w:rsidRPr="00E56DC6">
        <w:t>Prevent deterioration in status</w:t>
      </w:r>
      <w:r w:rsidR="00F73A51">
        <w:t>.</w:t>
      </w:r>
    </w:p>
    <w:p w14:paraId="71171405" w14:textId="2CCCF013" w:rsidR="00A967C1" w:rsidRPr="00E56DC6" w:rsidRDefault="07451159" w:rsidP="00C75AA3">
      <w:pPr>
        <w:pStyle w:val="BodyText1"/>
        <w:numPr>
          <w:ilvl w:val="0"/>
          <w:numId w:val="102"/>
        </w:numPr>
      </w:pPr>
      <w:r>
        <w:t>Return groundwater bodies to good status</w:t>
      </w:r>
      <w:r w:rsidR="00F73A51">
        <w:t>.</w:t>
      </w:r>
    </w:p>
    <w:p w14:paraId="6C2F1E3E" w14:textId="6D0921EE" w:rsidR="00EE6C5C" w:rsidRDefault="724CAF99" w:rsidP="00C75AA3">
      <w:pPr>
        <w:pStyle w:val="BodyText1"/>
        <w:numPr>
          <w:ilvl w:val="0"/>
          <w:numId w:val="102"/>
        </w:numPr>
      </w:pPr>
      <w:r>
        <w:t>Prevent direct discharge to groundwater of hazardous or non-hazardous substances.</w:t>
      </w:r>
    </w:p>
    <w:p w14:paraId="4F36E2B2" w14:textId="7738661B" w:rsidR="00BE52B2" w:rsidRDefault="00FE3F87" w:rsidP="00C75AA3">
      <w:pPr>
        <w:pStyle w:val="BodyText1"/>
      </w:pPr>
      <w:r>
        <w:t xml:space="preserve">You must use the </w:t>
      </w:r>
      <w:r w:rsidR="00E56DC6">
        <w:t>Groundwater Standards (</w:t>
      </w:r>
      <w:hyperlink w:anchor="_Groundwater_standards_to" w:history="1">
        <w:r w:rsidR="00E56DC6" w:rsidRPr="00C0613E">
          <w:rPr>
            <w:rStyle w:val="Hyperlink"/>
          </w:rPr>
          <w:t>Section 3</w:t>
        </w:r>
      </w:hyperlink>
      <w:r w:rsidR="00E56DC6">
        <w:t xml:space="preserve">) to determine whether these objectives are being met. </w:t>
      </w:r>
    </w:p>
    <w:p w14:paraId="19477E82" w14:textId="69494FBE" w:rsidR="00E56DC6" w:rsidRDefault="00D855FE" w:rsidP="00C75AA3">
      <w:pPr>
        <w:pStyle w:val="BodyText1"/>
      </w:pPr>
      <w:r>
        <w:lastRenderedPageBreak/>
        <w:t>In some circumstances the groundwater objectives can’t be achieved.</w:t>
      </w:r>
      <w:r w:rsidR="00267B43">
        <w:t xml:space="preserve"> In these </w:t>
      </w:r>
      <w:r w:rsidR="00C0613E">
        <w:t>cases,</w:t>
      </w:r>
      <w:r w:rsidR="00E7670D">
        <w:t xml:space="preserve"> you can </w:t>
      </w:r>
      <w:r w:rsidR="00BC0C0C">
        <w:t xml:space="preserve">ask </w:t>
      </w:r>
      <w:r w:rsidR="008C0C45">
        <w:t>the regulator</w:t>
      </w:r>
      <w:r w:rsidR="00BC0C0C">
        <w:t xml:space="preserve"> if they will accept the application of any</w:t>
      </w:r>
      <w:r w:rsidR="00267B43">
        <w:t xml:space="preserve"> exemption</w:t>
      </w:r>
      <w:r w:rsidR="006574A5">
        <w:t xml:space="preserve"> as</w:t>
      </w:r>
      <w:r w:rsidR="00267B43">
        <w:t xml:space="preserve"> set out in </w:t>
      </w:r>
      <w:hyperlink w:anchor="_Next_steps_if" w:history="1">
        <w:r w:rsidR="00267B43" w:rsidRPr="00C0613E">
          <w:rPr>
            <w:rStyle w:val="Hyperlink"/>
          </w:rPr>
          <w:t>Section 5</w:t>
        </w:r>
      </w:hyperlink>
      <w:r w:rsidR="00267B43">
        <w:t xml:space="preserve">. </w:t>
      </w:r>
      <w:r>
        <w:t xml:space="preserve"> </w:t>
      </w:r>
    </w:p>
    <w:p w14:paraId="3303E232" w14:textId="2AB4617F" w:rsidR="00300969" w:rsidRDefault="00300969" w:rsidP="00C75AA3">
      <w:pPr>
        <w:pStyle w:val="Heading1"/>
        <w:numPr>
          <w:ilvl w:val="0"/>
          <w:numId w:val="62"/>
        </w:numPr>
        <w:ind w:hanging="720"/>
        <w:rPr>
          <w:rFonts w:eastAsia="Times New Roman"/>
        </w:rPr>
      </w:pPr>
      <w:bookmarkStart w:id="2" w:name="_Groundwater_standards_to"/>
      <w:bookmarkStart w:id="3" w:name="_Toc193716121"/>
      <w:bookmarkEnd w:id="2"/>
      <w:r>
        <w:rPr>
          <w:rFonts w:eastAsia="Times New Roman"/>
        </w:rPr>
        <w:t>Groundwater standards to assess objectives</w:t>
      </w:r>
      <w:bookmarkEnd w:id="3"/>
    </w:p>
    <w:p w14:paraId="2D018DDB" w14:textId="76A173D8" w:rsidR="00EB79F0" w:rsidRDefault="007F2456" w:rsidP="00C75AA3">
      <w:pPr>
        <w:pStyle w:val="BodyText1"/>
      </w:pPr>
      <w:r>
        <w:t xml:space="preserve">The Groundwater Standards are designed to assess the degree of impact </w:t>
      </w:r>
      <w:r w:rsidR="003C79CB">
        <w:t>on</w:t>
      </w:r>
      <w:r>
        <w:t xml:space="preserve"> groundwater and to groundwater-dependent receptors. Groundwater-dependent receptors include surface waters, wetlands and existing abstractions. </w:t>
      </w:r>
    </w:p>
    <w:p w14:paraId="5F22A20C" w14:textId="0F024F39" w:rsidR="007F2456" w:rsidRDefault="007F2456" w:rsidP="00C75AA3">
      <w:pPr>
        <w:pStyle w:val="BodyText1"/>
      </w:pPr>
      <w:r>
        <w:t xml:space="preserve">Inputs </w:t>
      </w:r>
      <w:r w:rsidR="00A93C55">
        <w:t xml:space="preserve">of pollutants </w:t>
      </w:r>
      <w:r>
        <w:t xml:space="preserve">into groundwater should </w:t>
      </w:r>
      <w:r w:rsidR="00627B76">
        <w:t xml:space="preserve">also </w:t>
      </w:r>
      <w:r>
        <w:t xml:space="preserve">not cause harm to property, amenities, and other legitimate uses of the water environment. SEPA considers that this will be achieved by protecting groundwater and groundwater-dependent receptors. </w:t>
      </w:r>
    </w:p>
    <w:p w14:paraId="4CE94470" w14:textId="62654D74" w:rsidR="007F2456" w:rsidRDefault="007F2456" w:rsidP="00C75AA3">
      <w:pPr>
        <w:pStyle w:val="BodyText1"/>
      </w:pPr>
      <w:r>
        <w:t xml:space="preserve">The Groundwater Standards are not necessarily authorisation limits or remedial targets, although they may form the basis on which these can be derived once site-specific considerations are taken into account. </w:t>
      </w:r>
    </w:p>
    <w:p w14:paraId="0C8565D6" w14:textId="4000DBF7" w:rsidR="008943EC" w:rsidRDefault="008943EC" w:rsidP="00C75AA3">
      <w:pPr>
        <w:pStyle w:val="BodyText1"/>
      </w:pPr>
      <w:r w:rsidRPr="009B445F">
        <w:t xml:space="preserve">The </w:t>
      </w:r>
      <w:r>
        <w:t>G</w:t>
      </w:r>
      <w:r w:rsidRPr="009B445F">
        <w:t xml:space="preserve">roundwater </w:t>
      </w:r>
      <w:r>
        <w:t>S</w:t>
      </w:r>
      <w:r w:rsidRPr="009B445F">
        <w:t xml:space="preserve">tandards for </w:t>
      </w:r>
      <w:r>
        <w:t>non-radioactive chemical</w:t>
      </w:r>
      <w:r w:rsidRPr="009B445F">
        <w:t xml:space="preserve"> substances comprise a concentration, a statistic and a location at which they should be assessed. </w:t>
      </w:r>
    </w:p>
    <w:p w14:paraId="659E59F8" w14:textId="769B362D" w:rsidR="009F3145" w:rsidRPr="009F3145" w:rsidRDefault="008943EC" w:rsidP="000E4443">
      <w:pPr>
        <w:pStyle w:val="BodyText1"/>
      </w:pPr>
      <w:r w:rsidRPr="009B445F">
        <w:t>Radioactive substances are assessed differently, in accordance with relevant national legislation, and international recommendations and standards</w:t>
      </w:r>
      <w:r w:rsidR="00B84FEC">
        <w:t xml:space="preserve">. This guidance does not apply to inputs of radioactive substances. </w:t>
      </w:r>
    </w:p>
    <w:p w14:paraId="7F1E4832" w14:textId="5B5AE56E" w:rsidR="00684F5A" w:rsidRDefault="00DB29FA" w:rsidP="004133B7">
      <w:pPr>
        <w:pStyle w:val="Heading2"/>
        <w:rPr>
          <w:rFonts w:eastAsia="Times New Roman"/>
        </w:rPr>
      </w:pPr>
      <w:bookmarkStart w:id="4" w:name="_3.1_Objective_1:"/>
      <w:bookmarkStart w:id="5" w:name="_Toc193716122"/>
      <w:bookmarkEnd w:id="4"/>
      <w:r>
        <w:rPr>
          <w:rFonts w:eastAsia="Times New Roman"/>
        </w:rPr>
        <w:t>3.1</w:t>
      </w:r>
      <w:r>
        <w:rPr>
          <w:rFonts w:eastAsia="Times New Roman"/>
        </w:rPr>
        <w:tab/>
      </w:r>
      <w:r w:rsidR="002D4A0E">
        <w:rPr>
          <w:rFonts w:eastAsia="Times New Roman"/>
        </w:rPr>
        <w:t xml:space="preserve">Objective 1: </w:t>
      </w:r>
      <w:r w:rsidR="00300969">
        <w:rPr>
          <w:rFonts w:eastAsia="Times New Roman"/>
        </w:rPr>
        <w:t>Control inputs of hazardous substances</w:t>
      </w:r>
      <w:bookmarkEnd w:id="5"/>
      <w:r w:rsidR="00300969">
        <w:rPr>
          <w:rFonts w:eastAsia="Times New Roman"/>
        </w:rPr>
        <w:t xml:space="preserve"> </w:t>
      </w:r>
    </w:p>
    <w:p w14:paraId="31880D53" w14:textId="4B6FC426" w:rsidR="007D6B94" w:rsidRDefault="00CA2C69" w:rsidP="00C75AA3">
      <w:pPr>
        <w:pStyle w:val="BodyText1"/>
      </w:pPr>
      <w:r>
        <w:t xml:space="preserve">Inputs of hazardous substances into groundwater must be controlled </w:t>
      </w:r>
      <w:r w:rsidR="005A66EA">
        <w:t xml:space="preserve">so that there is no risk of deterioration in the quality of groundwater. </w:t>
      </w:r>
      <w:r w:rsidR="00D9786C">
        <w:t xml:space="preserve">You should use one of </w:t>
      </w:r>
      <w:r w:rsidR="009A3346">
        <w:t xml:space="preserve">the </w:t>
      </w:r>
      <w:r w:rsidR="00067A3E" w:rsidRPr="00C75AA3">
        <w:t>two environmental standards depending on whether the input is less than or more than or equal to 50m from a surface water.</w:t>
      </w:r>
    </w:p>
    <w:p w14:paraId="74D0C12A" w14:textId="77777777" w:rsidR="00DC7BE6" w:rsidRDefault="00DC7BE6" w:rsidP="007C50C1">
      <w:pPr>
        <w:rPr>
          <w:b/>
        </w:rPr>
      </w:pPr>
    </w:p>
    <w:p w14:paraId="21CFDDD3" w14:textId="77777777" w:rsidR="00DC7BE6" w:rsidRDefault="00DC7BE6" w:rsidP="007C50C1">
      <w:pPr>
        <w:rPr>
          <w:b/>
        </w:rPr>
      </w:pPr>
    </w:p>
    <w:p w14:paraId="783B7E8A" w14:textId="77777777" w:rsidR="00DC7BE6" w:rsidRDefault="00DC7BE6" w:rsidP="007C50C1">
      <w:pPr>
        <w:rPr>
          <w:b/>
        </w:rPr>
      </w:pPr>
    </w:p>
    <w:p w14:paraId="49284CF6" w14:textId="77777777" w:rsidR="00DC7BE6" w:rsidRDefault="00DC7BE6" w:rsidP="007C50C1">
      <w:pPr>
        <w:rPr>
          <w:b/>
        </w:rPr>
      </w:pPr>
    </w:p>
    <w:p w14:paraId="1B92CBC3" w14:textId="1D7268B9" w:rsidR="007D6B94" w:rsidRPr="00DC7BE6" w:rsidRDefault="006A3D32" w:rsidP="00DC7BE6">
      <w:pPr>
        <w:pStyle w:val="BodyText1"/>
        <w:rPr>
          <w:b/>
          <w:bCs/>
        </w:rPr>
      </w:pPr>
      <w:r w:rsidRPr="00DC7BE6">
        <w:rPr>
          <w:b/>
          <w:bCs/>
        </w:rPr>
        <w:lastRenderedPageBreak/>
        <w:t>Table 1</w:t>
      </w:r>
      <w:r w:rsidR="002D218F" w:rsidRPr="00DC7BE6">
        <w:rPr>
          <w:b/>
          <w:bCs/>
        </w:rPr>
        <w:t xml:space="preserve">: </w:t>
      </w:r>
      <w:r w:rsidR="00FE09DB" w:rsidRPr="00DC7BE6">
        <w:rPr>
          <w:b/>
          <w:bCs/>
        </w:rPr>
        <w:t>G</w:t>
      </w:r>
      <w:r w:rsidR="002D218F" w:rsidRPr="00DC7BE6">
        <w:rPr>
          <w:b/>
          <w:bCs/>
        </w:rPr>
        <w:t xml:space="preserve">roundwater standards to assess </w:t>
      </w:r>
      <w:r w:rsidR="00FE09DB" w:rsidRPr="00DC7BE6">
        <w:rPr>
          <w:b/>
          <w:bCs/>
        </w:rPr>
        <w:t xml:space="preserve">inputs of hazardous substances into groundwater </w:t>
      </w:r>
    </w:p>
    <w:tbl>
      <w:tblPr>
        <w:tblW w:w="5058" w:type="pct"/>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4A0" w:firstRow="1" w:lastRow="0" w:firstColumn="1" w:lastColumn="0" w:noHBand="0" w:noVBand="1"/>
        <w:tblCaption w:val="Table 1: Groundwater standards to assess inputs of hazardous substances into groundwater"/>
        <w:tblDescription w:val="This table has four columns: &#10;Receptor&#10;Spatial assessments rules&#10;Assessment concentration and&#10;Assessment statistic"/>
      </w:tblPr>
      <w:tblGrid>
        <w:gridCol w:w="2608"/>
        <w:gridCol w:w="2608"/>
        <w:gridCol w:w="2607"/>
        <w:gridCol w:w="2497"/>
      </w:tblGrid>
      <w:tr w:rsidR="00923529" w:rsidRPr="00684F5A" w14:paraId="5778BF2B" w14:textId="77777777" w:rsidTr="00C75AA3">
        <w:trPr>
          <w:trHeight w:val="610"/>
          <w:tblHeader/>
        </w:trPr>
        <w:tc>
          <w:tcPr>
            <w:tcW w:w="1263" w:type="pct"/>
            <w:shd w:val="clear" w:color="auto" w:fill="016574"/>
          </w:tcPr>
          <w:p w14:paraId="7BA6F8DB" w14:textId="6712114D" w:rsidR="00923529" w:rsidRDefault="00DA0E5D" w:rsidP="00923529">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Receptor</w:t>
            </w:r>
          </w:p>
        </w:tc>
        <w:tc>
          <w:tcPr>
            <w:tcW w:w="1263" w:type="pct"/>
            <w:shd w:val="clear" w:color="auto" w:fill="016574"/>
            <w:vAlign w:val="center"/>
          </w:tcPr>
          <w:p w14:paraId="32C4D602" w14:textId="66AFD1A2" w:rsidR="00923529" w:rsidRDefault="00923529" w:rsidP="00C75AA3">
            <w:pPr>
              <w:spacing w:before="120" w:after="120" w:line="276" w:lineRule="auto"/>
              <w:ind w:left="77" w:right="115"/>
              <w:jc w:val="center"/>
              <w:rPr>
                <w:rFonts w:ascii="Arial" w:eastAsia="Times New Roman" w:hAnsi="Arial" w:cs="Arial"/>
                <w:b/>
                <w:bCs/>
                <w:color w:val="FFFFFF"/>
                <w:lang w:eastAsia="en-GB"/>
              </w:rPr>
            </w:pPr>
            <w:r>
              <w:rPr>
                <w:rFonts w:ascii="Arial" w:eastAsia="Times New Roman" w:hAnsi="Arial" w:cs="Arial"/>
                <w:b/>
                <w:bCs/>
                <w:color w:val="FFFFFF"/>
                <w:lang w:eastAsia="en-GB"/>
              </w:rPr>
              <w:t>Spatial assessment rules</w:t>
            </w:r>
          </w:p>
        </w:tc>
        <w:tc>
          <w:tcPr>
            <w:tcW w:w="1263" w:type="pct"/>
            <w:shd w:val="clear" w:color="auto" w:fill="016574"/>
            <w:noWrap/>
            <w:tcMar>
              <w:top w:w="0" w:type="dxa"/>
              <w:left w:w="108" w:type="dxa"/>
              <w:bottom w:w="0" w:type="dxa"/>
              <w:right w:w="108" w:type="dxa"/>
            </w:tcMar>
            <w:vAlign w:val="center"/>
            <w:hideMark/>
          </w:tcPr>
          <w:p w14:paraId="4A81D443" w14:textId="0F5B0B15" w:rsidR="00923529" w:rsidRPr="00684F5A" w:rsidRDefault="00923529" w:rsidP="00923529">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Assessment concentration </w:t>
            </w:r>
          </w:p>
        </w:tc>
        <w:tc>
          <w:tcPr>
            <w:tcW w:w="1210" w:type="pct"/>
            <w:shd w:val="clear" w:color="auto" w:fill="016574"/>
            <w:noWrap/>
            <w:tcMar>
              <w:top w:w="0" w:type="dxa"/>
              <w:left w:w="108" w:type="dxa"/>
              <w:bottom w:w="0" w:type="dxa"/>
              <w:right w:w="108" w:type="dxa"/>
            </w:tcMar>
            <w:vAlign w:val="center"/>
            <w:hideMark/>
          </w:tcPr>
          <w:p w14:paraId="60987CE3" w14:textId="6ED70D23" w:rsidR="00923529" w:rsidRPr="00684F5A" w:rsidRDefault="00923529" w:rsidP="00923529">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Assessment statistic </w:t>
            </w:r>
          </w:p>
        </w:tc>
      </w:tr>
      <w:tr w:rsidR="00923529" w:rsidRPr="00684F5A" w14:paraId="46C54585" w14:textId="77777777" w:rsidTr="00C75AA3">
        <w:trPr>
          <w:trHeight w:val="315"/>
        </w:trPr>
        <w:tc>
          <w:tcPr>
            <w:tcW w:w="1263" w:type="pct"/>
          </w:tcPr>
          <w:p w14:paraId="753E16B9" w14:textId="2A203F1E" w:rsidR="00923529" w:rsidRPr="009553A5" w:rsidRDefault="004B3914" w:rsidP="00C75AA3">
            <w:pPr>
              <w:pStyle w:val="BodyText1"/>
              <w:ind w:left="127"/>
            </w:pPr>
            <w:r w:rsidRPr="009553A5">
              <w:t xml:space="preserve">Groundwater </w:t>
            </w:r>
          </w:p>
        </w:tc>
        <w:tc>
          <w:tcPr>
            <w:tcW w:w="1263" w:type="pct"/>
          </w:tcPr>
          <w:p w14:paraId="69FAAEF1" w14:textId="7E5D8137" w:rsidR="00923529" w:rsidRPr="009553A5" w:rsidRDefault="00F57025" w:rsidP="00C75AA3">
            <w:pPr>
              <w:pStyle w:val="BodyText1"/>
              <w:ind w:left="70"/>
            </w:pPr>
            <w:r w:rsidRPr="009553A5">
              <w:t>Assessed at base of the unsaturated zone. For sources below the water table this should be assessed at the point of entry to groundwater.</w:t>
            </w:r>
          </w:p>
        </w:tc>
        <w:tc>
          <w:tcPr>
            <w:tcW w:w="1263" w:type="pct"/>
            <w:noWrap/>
            <w:tcMar>
              <w:top w:w="0" w:type="dxa"/>
              <w:left w:w="108" w:type="dxa"/>
              <w:bottom w:w="0" w:type="dxa"/>
              <w:right w:w="108" w:type="dxa"/>
            </w:tcMar>
          </w:tcPr>
          <w:p w14:paraId="2EBBC604" w14:textId="77777777" w:rsidR="00DE40B7" w:rsidRPr="009553A5" w:rsidRDefault="00DE40B7" w:rsidP="00C75AA3">
            <w:pPr>
              <w:pStyle w:val="BodyText1"/>
            </w:pPr>
            <w:r w:rsidRPr="00C75AA3">
              <w:t xml:space="preserve">Environmental Standard for inputs into groundwater of hazardous substances </w:t>
            </w:r>
          </w:p>
          <w:p w14:paraId="51163794" w14:textId="74A84890" w:rsidR="00923529" w:rsidRPr="009553A5" w:rsidRDefault="00DE40B7" w:rsidP="00C75AA3">
            <w:pPr>
              <w:pStyle w:val="BodyText1"/>
            </w:pPr>
            <w:r w:rsidRPr="00C75AA3">
              <w:t xml:space="preserve">(&gt;50 m from surface waters)  </w:t>
            </w:r>
          </w:p>
        </w:tc>
        <w:tc>
          <w:tcPr>
            <w:tcW w:w="1210" w:type="pct"/>
            <w:noWrap/>
            <w:tcMar>
              <w:top w:w="0" w:type="dxa"/>
              <w:left w:w="108" w:type="dxa"/>
              <w:bottom w:w="0" w:type="dxa"/>
              <w:right w:w="108" w:type="dxa"/>
            </w:tcMar>
          </w:tcPr>
          <w:p w14:paraId="5C5F1569" w14:textId="25B51857" w:rsidR="00923529" w:rsidRPr="009553A5" w:rsidRDefault="007D5C4E" w:rsidP="00C75AA3">
            <w:pPr>
              <w:pStyle w:val="BodyText1"/>
            </w:pPr>
            <w:r w:rsidRPr="009553A5">
              <w:t>Annual average</w:t>
            </w:r>
          </w:p>
        </w:tc>
      </w:tr>
      <w:tr w:rsidR="00923529" w:rsidRPr="00684F5A" w14:paraId="6C0960E9" w14:textId="77777777" w:rsidTr="00C75AA3">
        <w:trPr>
          <w:trHeight w:val="315"/>
        </w:trPr>
        <w:tc>
          <w:tcPr>
            <w:tcW w:w="1263" w:type="pct"/>
          </w:tcPr>
          <w:p w14:paraId="21AAB823" w14:textId="10C740E6" w:rsidR="00923529" w:rsidRPr="009553A5" w:rsidRDefault="004B3914" w:rsidP="00C75AA3">
            <w:pPr>
              <w:pStyle w:val="BodyText1"/>
              <w:ind w:left="127"/>
            </w:pPr>
            <w:r w:rsidRPr="009553A5">
              <w:t>Groundwater near surface waters</w:t>
            </w:r>
          </w:p>
        </w:tc>
        <w:tc>
          <w:tcPr>
            <w:tcW w:w="1263" w:type="pct"/>
          </w:tcPr>
          <w:p w14:paraId="25440B69" w14:textId="020A2C31" w:rsidR="00923529" w:rsidRPr="009553A5" w:rsidRDefault="00923529" w:rsidP="00C75AA3">
            <w:pPr>
              <w:pStyle w:val="BodyText1"/>
              <w:ind w:left="70"/>
            </w:pPr>
            <w:r w:rsidRPr="009553A5">
              <w:t>Assessed at base of the unsaturated zone. For sources below the water table this should be assessed at the point of entry to groundwater.</w:t>
            </w:r>
          </w:p>
        </w:tc>
        <w:tc>
          <w:tcPr>
            <w:tcW w:w="1263" w:type="pct"/>
            <w:noWrap/>
            <w:tcMar>
              <w:top w:w="0" w:type="dxa"/>
              <w:left w:w="108" w:type="dxa"/>
              <w:bottom w:w="0" w:type="dxa"/>
              <w:right w:w="108" w:type="dxa"/>
            </w:tcMar>
            <w:hideMark/>
          </w:tcPr>
          <w:p w14:paraId="7BC7FA90" w14:textId="77777777" w:rsidR="007D5C4E" w:rsidRPr="009553A5" w:rsidRDefault="007D5C4E" w:rsidP="00C75AA3">
            <w:pPr>
              <w:pStyle w:val="BodyText1"/>
            </w:pPr>
            <w:r w:rsidRPr="00C75AA3">
              <w:t xml:space="preserve">Environmental Standard for inputs into groundwater of hazardous substances </w:t>
            </w:r>
          </w:p>
          <w:p w14:paraId="6D74ACB6" w14:textId="1A545EC2" w:rsidR="00923529" w:rsidRPr="007D5C4E" w:rsidRDefault="007D5C4E" w:rsidP="00C75AA3">
            <w:pPr>
              <w:pStyle w:val="BodyText1"/>
              <w:rPr>
                <w:rFonts w:eastAsia="Times New Roman"/>
                <w:lang w:eastAsia="en-GB"/>
              </w:rPr>
            </w:pPr>
            <w:r w:rsidRPr="00C75AA3">
              <w:t>(</w:t>
            </w:r>
            <w:r w:rsidR="00527525">
              <w:t>≤</w:t>
            </w:r>
            <w:r w:rsidRPr="00C75AA3">
              <w:t xml:space="preserve">50 m from surface waters)  </w:t>
            </w:r>
          </w:p>
        </w:tc>
        <w:tc>
          <w:tcPr>
            <w:tcW w:w="1210" w:type="pct"/>
            <w:noWrap/>
            <w:tcMar>
              <w:top w:w="0" w:type="dxa"/>
              <w:left w:w="108" w:type="dxa"/>
              <w:bottom w:w="0" w:type="dxa"/>
              <w:right w:w="108" w:type="dxa"/>
            </w:tcMar>
            <w:hideMark/>
          </w:tcPr>
          <w:p w14:paraId="580C5443" w14:textId="490DF1CB" w:rsidR="00923529" w:rsidRPr="007D5C4E" w:rsidRDefault="007D5C4E" w:rsidP="00C75AA3">
            <w:pPr>
              <w:pStyle w:val="BodyText1"/>
              <w:rPr>
                <w:rFonts w:eastAsia="Times New Roman"/>
                <w:lang w:eastAsia="en-GB"/>
              </w:rPr>
            </w:pPr>
            <w:r w:rsidRPr="009553A5">
              <w:t>A</w:t>
            </w:r>
            <w:r w:rsidR="00923529" w:rsidRPr="009553A5">
              <w:t>nnual average</w:t>
            </w:r>
          </w:p>
        </w:tc>
      </w:tr>
    </w:tbl>
    <w:p w14:paraId="0AD55524" w14:textId="77777777" w:rsidR="00B3722E" w:rsidRPr="00DC7BE6" w:rsidRDefault="00B3722E" w:rsidP="00DC7BE6">
      <w:pPr>
        <w:pStyle w:val="BodyText1"/>
      </w:pPr>
    </w:p>
    <w:p w14:paraId="3AA429B1" w14:textId="72FCBB1F" w:rsidR="007F2DA5" w:rsidRDefault="00FC5EB9" w:rsidP="00DC7BE6">
      <w:pPr>
        <w:pStyle w:val="BodyText1"/>
      </w:pPr>
      <w:r w:rsidRPr="00DC7BE6">
        <w:t xml:space="preserve">This objective only applies to </w:t>
      </w:r>
      <w:r w:rsidR="007C50C1" w:rsidRPr="00DC7BE6">
        <w:t>groundwater which is less than 400 m depth below ground level and which is located inland of the mean high water springs tidal limit, or groundwater</w:t>
      </w:r>
      <w:r w:rsidR="6DC6A0E0" w:rsidRPr="00DC7BE6">
        <w:t>s at depth greater than</w:t>
      </w:r>
      <w:r w:rsidR="007C50C1" w:rsidRPr="00DC7BE6">
        <w:t xml:space="preserve"> 400m below ground level and/or below mean high water springs if the water is fresh or there is a pathway for contaminants to reach surface ecosystems</w:t>
      </w:r>
      <w:r w:rsidR="007C50C1">
        <w:t>.</w:t>
      </w:r>
    </w:p>
    <w:p w14:paraId="0325BF88" w14:textId="14A56181" w:rsidR="007F2DA5" w:rsidRDefault="00DB29FA" w:rsidP="007F2DA5">
      <w:pPr>
        <w:pStyle w:val="Heading2"/>
        <w:rPr>
          <w:rFonts w:eastAsia="Times New Roman"/>
        </w:rPr>
      </w:pPr>
      <w:bookmarkStart w:id="6" w:name="_Toc193716123"/>
      <w:r>
        <w:rPr>
          <w:rFonts w:eastAsia="Times New Roman"/>
        </w:rPr>
        <w:lastRenderedPageBreak/>
        <w:t>3.2</w:t>
      </w:r>
      <w:r>
        <w:rPr>
          <w:rFonts w:eastAsia="Times New Roman"/>
        </w:rPr>
        <w:tab/>
      </w:r>
      <w:r w:rsidR="009149A0">
        <w:rPr>
          <w:rFonts w:eastAsia="Times New Roman"/>
        </w:rPr>
        <w:t xml:space="preserve">Objective 2: </w:t>
      </w:r>
      <w:r w:rsidR="007F2DA5">
        <w:rPr>
          <w:rFonts w:eastAsia="Times New Roman"/>
        </w:rPr>
        <w:t>Limit inputs of non-hazardous substances so that they do not cause deterioration of groundwater</w:t>
      </w:r>
      <w:bookmarkEnd w:id="6"/>
    </w:p>
    <w:p w14:paraId="3EF2A9D3" w14:textId="570E3E4D" w:rsidR="001A30DA" w:rsidRDefault="00F74B09" w:rsidP="00C75AA3">
      <w:pPr>
        <w:pStyle w:val="BodyText1"/>
      </w:pPr>
      <w:r>
        <w:t xml:space="preserve">This objective also applies </w:t>
      </w:r>
      <w:r w:rsidR="11AA73B3">
        <w:t xml:space="preserve">to </w:t>
      </w:r>
      <w:r>
        <w:t>hazardous substances that have</w:t>
      </w:r>
      <w:r w:rsidRPr="00AD266A">
        <w:t xml:space="preserve"> already entered </w:t>
      </w:r>
      <w:r w:rsidR="008456B3" w:rsidRPr="00AD266A" w:rsidDel="00F74B09">
        <w:t>groundwater</w:t>
      </w:r>
      <w:r w:rsidR="008456B3" w:rsidDel="00F74B09">
        <w:t xml:space="preserve"> </w:t>
      </w:r>
      <w:r>
        <w:t>from</w:t>
      </w:r>
      <w:r w:rsidR="008456B3" w:rsidRPr="00C75AA3">
        <w:t xml:space="preserve"> historical land contamination</w:t>
      </w:r>
      <w:r>
        <w:t>. It</w:t>
      </w:r>
      <w:r w:rsidR="008456B3" w:rsidRPr="00C75AA3">
        <w:t xml:space="preserve"> do</w:t>
      </w:r>
      <w:r>
        <w:t>es</w:t>
      </w:r>
      <w:r w:rsidR="008456B3" w:rsidRPr="00C75AA3">
        <w:t xml:space="preserve"> not apply to new or ongoing hazardous substance inputs, which should </w:t>
      </w:r>
      <w:r w:rsidR="00EE0374">
        <w:t>be controlled to prevent deterioration</w:t>
      </w:r>
      <w:r w:rsidR="00392390">
        <w:t xml:space="preserve">, see </w:t>
      </w:r>
      <w:hyperlink w:anchor="_3.1_Objective_1:" w:history="1">
        <w:r w:rsidR="00392390" w:rsidRPr="00610969">
          <w:rPr>
            <w:rStyle w:val="Hyperlink"/>
          </w:rPr>
          <w:t>Objective 1</w:t>
        </w:r>
      </w:hyperlink>
      <w:r w:rsidR="00EE0374">
        <w:t>.</w:t>
      </w:r>
    </w:p>
    <w:p w14:paraId="12788836" w14:textId="6E9B7894" w:rsidR="00A4550E" w:rsidRDefault="001A30DA" w:rsidP="009553A5">
      <w:pPr>
        <w:pStyle w:val="BodyText1"/>
      </w:pPr>
      <w:r>
        <w:t>You should assess the impact on</w:t>
      </w:r>
      <w:r w:rsidR="00A4550E">
        <w:t xml:space="preserve"> the receptors</w:t>
      </w:r>
      <w:r w:rsidR="005F0C03">
        <w:t xml:space="preserve"> </w:t>
      </w:r>
      <w:r w:rsidR="004E5E64">
        <w:t xml:space="preserve">set out in Table 2 using the standards in that table. </w:t>
      </w:r>
      <w:r w:rsidR="00A4550E">
        <w:t xml:space="preserve"> </w:t>
      </w:r>
    </w:p>
    <w:p w14:paraId="7330D2DC" w14:textId="16984A80" w:rsidR="009553A5" w:rsidRPr="00DC7BE6" w:rsidRDefault="009553A5" w:rsidP="00DC7BE6">
      <w:pPr>
        <w:pStyle w:val="BodyText1"/>
        <w:rPr>
          <w:b/>
        </w:rPr>
      </w:pPr>
      <w:r w:rsidRPr="00DC7BE6">
        <w:rPr>
          <w:b/>
        </w:rPr>
        <w:t xml:space="preserve">Table 2: Groundwater standards to assess </w:t>
      </w:r>
      <w:r w:rsidR="00F615B0" w:rsidRPr="00DC7BE6">
        <w:rPr>
          <w:b/>
        </w:rPr>
        <w:t xml:space="preserve">if inputs of </w:t>
      </w:r>
      <w:r w:rsidR="00873ED8" w:rsidRPr="00DC7BE6">
        <w:rPr>
          <w:b/>
        </w:rPr>
        <w:t xml:space="preserve">non-hazardous substances </w:t>
      </w:r>
      <w:r w:rsidR="00F615B0" w:rsidRPr="00DC7BE6">
        <w:rPr>
          <w:b/>
        </w:rPr>
        <w:t xml:space="preserve">are causing </w:t>
      </w:r>
      <w:r w:rsidR="00873ED8" w:rsidRPr="00DC7BE6">
        <w:rPr>
          <w:b/>
        </w:rPr>
        <w:t>deterioration of groundwater</w:t>
      </w:r>
    </w:p>
    <w:tbl>
      <w:tblPr>
        <w:tblW w:w="5058" w:type="pct"/>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4A0" w:firstRow="1" w:lastRow="0" w:firstColumn="1" w:lastColumn="0" w:noHBand="0" w:noVBand="1"/>
        <w:tblCaption w:val="Table 2: Groundwater standards to assess if inputs of non-hazardous substances are causing detetioration of groundwater"/>
        <w:tblDescription w:val="This table has four columns:&#10;Receptor&#10;Spatial assessment rules&#10;Assessment concentration&#10;Assessment statistic"/>
      </w:tblPr>
      <w:tblGrid>
        <w:gridCol w:w="2609"/>
        <w:gridCol w:w="2609"/>
        <w:gridCol w:w="2607"/>
        <w:gridCol w:w="2495"/>
      </w:tblGrid>
      <w:tr w:rsidR="00CF45A9" w:rsidRPr="00684F5A" w14:paraId="1BEECD9C" w14:textId="77777777" w:rsidTr="00EA690E">
        <w:trPr>
          <w:trHeight w:val="610"/>
          <w:tblHeader/>
        </w:trPr>
        <w:tc>
          <w:tcPr>
            <w:tcW w:w="1264" w:type="pct"/>
            <w:shd w:val="clear" w:color="auto" w:fill="016574"/>
          </w:tcPr>
          <w:p w14:paraId="47D8250F" w14:textId="77777777" w:rsidR="00CF45A9" w:rsidRDefault="00CF45A9">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Receptor</w:t>
            </w:r>
          </w:p>
        </w:tc>
        <w:tc>
          <w:tcPr>
            <w:tcW w:w="1264" w:type="pct"/>
            <w:shd w:val="clear" w:color="auto" w:fill="016574"/>
            <w:vAlign w:val="center"/>
          </w:tcPr>
          <w:p w14:paraId="4A1283D8" w14:textId="77777777" w:rsidR="00CF45A9" w:rsidRDefault="00CF45A9">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Spatial assessment rules</w:t>
            </w:r>
          </w:p>
        </w:tc>
        <w:tc>
          <w:tcPr>
            <w:tcW w:w="1263" w:type="pct"/>
            <w:shd w:val="clear" w:color="auto" w:fill="016574"/>
            <w:noWrap/>
            <w:tcMar>
              <w:top w:w="0" w:type="dxa"/>
              <w:left w:w="108" w:type="dxa"/>
              <w:bottom w:w="0" w:type="dxa"/>
              <w:right w:w="108" w:type="dxa"/>
            </w:tcMar>
            <w:vAlign w:val="center"/>
            <w:hideMark/>
          </w:tcPr>
          <w:p w14:paraId="4358D5AD" w14:textId="77777777" w:rsidR="00CF45A9" w:rsidRPr="00684F5A" w:rsidRDefault="00CF45A9">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Assessment concentration </w:t>
            </w:r>
          </w:p>
        </w:tc>
        <w:tc>
          <w:tcPr>
            <w:tcW w:w="1210" w:type="pct"/>
            <w:shd w:val="clear" w:color="auto" w:fill="016574"/>
            <w:noWrap/>
            <w:tcMar>
              <w:top w:w="0" w:type="dxa"/>
              <w:left w:w="108" w:type="dxa"/>
              <w:bottom w:w="0" w:type="dxa"/>
              <w:right w:w="108" w:type="dxa"/>
            </w:tcMar>
            <w:vAlign w:val="center"/>
            <w:hideMark/>
          </w:tcPr>
          <w:p w14:paraId="420A3061" w14:textId="77777777" w:rsidR="00CF45A9" w:rsidRPr="00684F5A" w:rsidRDefault="00CF45A9">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Assessment statistic </w:t>
            </w:r>
          </w:p>
        </w:tc>
      </w:tr>
      <w:tr w:rsidR="00EA690E" w:rsidRPr="00684F5A" w14:paraId="7224D9BD" w14:textId="77777777" w:rsidTr="00EA690E">
        <w:trPr>
          <w:trHeight w:val="315"/>
        </w:trPr>
        <w:tc>
          <w:tcPr>
            <w:tcW w:w="1264" w:type="pct"/>
          </w:tcPr>
          <w:p w14:paraId="3352A161" w14:textId="22FD2820" w:rsidR="00EA690E" w:rsidRPr="00CA3311" w:rsidRDefault="00EA690E" w:rsidP="00C75AA3">
            <w:pPr>
              <w:pStyle w:val="BodyText1"/>
              <w:ind w:left="127"/>
            </w:pPr>
            <w:r>
              <w:t>Future groundwater resource</w:t>
            </w:r>
          </w:p>
        </w:tc>
        <w:tc>
          <w:tcPr>
            <w:tcW w:w="1264" w:type="pct"/>
          </w:tcPr>
          <w:p w14:paraId="0405D990" w14:textId="4B40D807" w:rsidR="00EA690E" w:rsidRPr="00EA690E" w:rsidRDefault="00EA690E" w:rsidP="00C75AA3">
            <w:pPr>
              <w:pStyle w:val="BodyText1"/>
              <w:ind w:left="127"/>
            </w:pPr>
            <w:r w:rsidRPr="00C75AA3">
              <w:t>Standard exceeded over 1 hectare</w:t>
            </w:r>
            <w:r w:rsidRPr="00C75AA3">
              <w:rPr>
                <w:vertAlign w:val="superscript"/>
              </w:rPr>
              <w:footnoteReference w:id="2"/>
            </w:r>
            <w:r w:rsidRPr="00C75AA3">
              <w:t xml:space="preserve"> </w:t>
            </w:r>
          </w:p>
        </w:tc>
        <w:tc>
          <w:tcPr>
            <w:tcW w:w="1263" w:type="pct"/>
            <w:noWrap/>
            <w:tcMar>
              <w:top w:w="0" w:type="dxa"/>
              <w:left w:w="108" w:type="dxa"/>
              <w:bottom w:w="0" w:type="dxa"/>
              <w:right w:w="108" w:type="dxa"/>
            </w:tcMar>
          </w:tcPr>
          <w:p w14:paraId="6DDE4416" w14:textId="0E591D1C" w:rsidR="00EA690E" w:rsidRPr="00EA690E" w:rsidRDefault="00EA690E" w:rsidP="00C75AA3">
            <w:pPr>
              <w:pStyle w:val="BodyText1"/>
            </w:pPr>
            <w:r w:rsidRPr="00C75AA3">
              <w:t xml:space="preserve">Threshold Value  </w:t>
            </w:r>
          </w:p>
        </w:tc>
        <w:tc>
          <w:tcPr>
            <w:tcW w:w="1210" w:type="pct"/>
            <w:noWrap/>
            <w:tcMar>
              <w:top w:w="0" w:type="dxa"/>
              <w:left w:w="108" w:type="dxa"/>
              <w:bottom w:w="0" w:type="dxa"/>
              <w:right w:w="108" w:type="dxa"/>
            </w:tcMar>
          </w:tcPr>
          <w:p w14:paraId="02E6FA81" w14:textId="23621285" w:rsidR="00EA690E" w:rsidRPr="00EA690E" w:rsidRDefault="00EA690E" w:rsidP="00C75AA3">
            <w:pPr>
              <w:pStyle w:val="BodyText1"/>
            </w:pPr>
            <w:r w:rsidRPr="00C75AA3">
              <w:t xml:space="preserve">Annual average </w:t>
            </w:r>
          </w:p>
        </w:tc>
      </w:tr>
      <w:tr w:rsidR="00EA690E" w:rsidRPr="00684F5A" w14:paraId="26E32729" w14:textId="77777777" w:rsidTr="00EA690E">
        <w:trPr>
          <w:trHeight w:val="315"/>
        </w:trPr>
        <w:tc>
          <w:tcPr>
            <w:tcW w:w="1264" w:type="pct"/>
          </w:tcPr>
          <w:p w14:paraId="0AC20E51" w14:textId="7CFECF35" w:rsidR="00EA690E" w:rsidRPr="00CA3311" w:rsidRDefault="00EA690E" w:rsidP="00C75AA3">
            <w:pPr>
              <w:pStyle w:val="BodyText1"/>
              <w:ind w:left="127"/>
            </w:pPr>
            <w:r>
              <w:t>Current abstractions</w:t>
            </w:r>
          </w:p>
        </w:tc>
        <w:tc>
          <w:tcPr>
            <w:tcW w:w="1264" w:type="pct"/>
          </w:tcPr>
          <w:p w14:paraId="51ABFE22" w14:textId="19D3C80B" w:rsidR="00EA690E" w:rsidRPr="00EA690E" w:rsidRDefault="00EA690E" w:rsidP="00C75AA3">
            <w:pPr>
              <w:pStyle w:val="BodyText1"/>
              <w:ind w:left="127"/>
            </w:pPr>
            <w:r w:rsidRPr="00C75AA3">
              <w:t xml:space="preserve">Assessed in abstraction prior to treatment </w:t>
            </w:r>
          </w:p>
        </w:tc>
        <w:tc>
          <w:tcPr>
            <w:tcW w:w="1263" w:type="pct"/>
            <w:noWrap/>
            <w:tcMar>
              <w:top w:w="0" w:type="dxa"/>
              <w:left w:w="108" w:type="dxa"/>
              <w:bottom w:w="0" w:type="dxa"/>
              <w:right w:w="108" w:type="dxa"/>
            </w:tcMar>
            <w:hideMark/>
          </w:tcPr>
          <w:p w14:paraId="1D1C1967" w14:textId="77777777" w:rsidR="00EA690E" w:rsidRPr="00C75AA3" w:rsidRDefault="00EA690E" w:rsidP="00C75AA3">
            <w:pPr>
              <w:pStyle w:val="BodyText1"/>
            </w:pPr>
            <w:r w:rsidRPr="00C75AA3">
              <w:t xml:space="preserve">Use-based standard </w:t>
            </w:r>
          </w:p>
          <w:p w14:paraId="3A543C19" w14:textId="5A07363E" w:rsidR="00EA690E" w:rsidRPr="00EA690E" w:rsidRDefault="00EA690E" w:rsidP="00C75AA3">
            <w:pPr>
              <w:pStyle w:val="BodyText1"/>
              <w:rPr>
                <w:rFonts w:eastAsia="Times New Roman"/>
                <w:lang w:eastAsia="en-GB"/>
              </w:rPr>
            </w:pPr>
            <w:r w:rsidRPr="00C75AA3">
              <w:t xml:space="preserve">If multiple uses, then the most stringent use-based standard applies </w:t>
            </w:r>
          </w:p>
        </w:tc>
        <w:tc>
          <w:tcPr>
            <w:tcW w:w="1210" w:type="pct"/>
            <w:noWrap/>
            <w:tcMar>
              <w:top w:w="0" w:type="dxa"/>
              <w:left w:w="108" w:type="dxa"/>
              <w:bottom w:w="0" w:type="dxa"/>
              <w:right w:w="108" w:type="dxa"/>
            </w:tcMar>
            <w:hideMark/>
          </w:tcPr>
          <w:p w14:paraId="4C9262BF" w14:textId="412C569D" w:rsidR="00EA690E" w:rsidRPr="00EA690E" w:rsidRDefault="00EA690E" w:rsidP="00C75AA3">
            <w:pPr>
              <w:pStyle w:val="BodyText1"/>
              <w:rPr>
                <w:rFonts w:eastAsia="Times New Roman"/>
                <w:lang w:eastAsia="en-GB"/>
              </w:rPr>
            </w:pPr>
            <w:r w:rsidRPr="00C75AA3">
              <w:t xml:space="preserve">Maximum </w:t>
            </w:r>
          </w:p>
        </w:tc>
      </w:tr>
      <w:tr w:rsidR="00EA690E" w:rsidRPr="00684F5A" w14:paraId="066254FD" w14:textId="77777777" w:rsidTr="00EA690E">
        <w:trPr>
          <w:trHeight w:val="315"/>
        </w:trPr>
        <w:tc>
          <w:tcPr>
            <w:tcW w:w="1264" w:type="pct"/>
          </w:tcPr>
          <w:p w14:paraId="55321192" w14:textId="7EB87547" w:rsidR="00EA690E" w:rsidRDefault="00EA690E" w:rsidP="00C75AA3">
            <w:pPr>
              <w:pStyle w:val="BodyText1"/>
              <w:ind w:left="127"/>
            </w:pPr>
            <w:r>
              <w:t xml:space="preserve">Surface waters </w:t>
            </w:r>
          </w:p>
        </w:tc>
        <w:tc>
          <w:tcPr>
            <w:tcW w:w="1264" w:type="pct"/>
          </w:tcPr>
          <w:p w14:paraId="7CD8E5B4" w14:textId="5D039189" w:rsidR="00EA690E" w:rsidRPr="00EA690E" w:rsidRDefault="00EA690E" w:rsidP="00C75AA3">
            <w:pPr>
              <w:pStyle w:val="BodyText1"/>
              <w:ind w:left="127"/>
            </w:pPr>
            <w:r w:rsidRPr="00C75AA3">
              <w:t xml:space="preserve">Assessed in surface water following mixing </w:t>
            </w:r>
          </w:p>
        </w:tc>
        <w:tc>
          <w:tcPr>
            <w:tcW w:w="1263" w:type="pct"/>
            <w:noWrap/>
            <w:tcMar>
              <w:top w:w="0" w:type="dxa"/>
              <w:left w:w="108" w:type="dxa"/>
              <w:bottom w:w="0" w:type="dxa"/>
              <w:right w:w="108" w:type="dxa"/>
            </w:tcMar>
          </w:tcPr>
          <w:p w14:paraId="27F1182A" w14:textId="6CF32010" w:rsidR="00EA690E" w:rsidRPr="00EA690E" w:rsidRDefault="00EA690E" w:rsidP="00C75AA3">
            <w:pPr>
              <w:pStyle w:val="BodyText1"/>
            </w:pPr>
            <w:r w:rsidRPr="00C75AA3">
              <w:t>Environmental standard for surface waters or other SEPA agreed standard</w:t>
            </w:r>
          </w:p>
        </w:tc>
        <w:tc>
          <w:tcPr>
            <w:tcW w:w="1210" w:type="pct"/>
            <w:noWrap/>
            <w:tcMar>
              <w:top w:w="0" w:type="dxa"/>
              <w:left w:w="108" w:type="dxa"/>
              <w:bottom w:w="0" w:type="dxa"/>
              <w:right w:w="108" w:type="dxa"/>
            </w:tcMar>
          </w:tcPr>
          <w:p w14:paraId="6738BAC7" w14:textId="678F3FBA" w:rsidR="00EA690E" w:rsidRPr="00EA690E" w:rsidRDefault="00C8257C" w:rsidP="00C75AA3">
            <w:pPr>
              <w:pStyle w:val="BodyText1"/>
            </w:pPr>
            <w:r>
              <w:t>T</w:t>
            </w:r>
            <w:r w:rsidR="002E6ED7">
              <w:t xml:space="preserve">he </w:t>
            </w:r>
            <w:r>
              <w:t>relevant</w:t>
            </w:r>
            <w:r w:rsidR="002E6ED7">
              <w:t xml:space="preserve"> assessment </w:t>
            </w:r>
            <w:r>
              <w:t xml:space="preserve">statistic </w:t>
            </w:r>
            <w:r w:rsidR="002E6ED7">
              <w:t xml:space="preserve">for the </w:t>
            </w:r>
            <w:r w:rsidR="00C57DF8">
              <w:t>pollutants in surface water</w:t>
            </w:r>
            <w:r>
              <w:t>.</w:t>
            </w:r>
            <w:r w:rsidR="000336A3">
              <w:t xml:space="preserve"> </w:t>
            </w:r>
            <w:r w:rsidR="00EA690E" w:rsidRPr="00C75AA3">
              <w:t xml:space="preserve"> </w:t>
            </w:r>
          </w:p>
        </w:tc>
      </w:tr>
      <w:tr w:rsidR="00EA690E" w:rsidRPr="00684F5A" w14:paraId="0AE228F3" w14:textId="77777777" w:rsidTr="00EA690E">
        <w:trPr>
          <w:trHeight w:val="315"/>
        </w:trPr>
        <w:tc>
          <w:tcPr>
            <w:tcW w:w="1264" w:type="pct"/>
          </w:tcPr>
          <w:p w14:paraId="05632895" w14:textId="6615DCF2" w:rsidR="00EA690E" w:rsidRDefault="00EA690E" w:rsidP="00C75AA3">
            <w:pPr>
              <w:pStyle w:val="BodyText1"/>
              <w:ind w:left="127"/>
            </w:pPr>
            <w:r>
              <w:lastRenderedPageBreak/>
              <w:t>Groundwater dependent wetlands</w:t>
            </w:r>
          </w:p>
        </w:tc>
        <w:tc>
          <w:tcPr>
            <w:tcW w:w="1264" w:type="pct"/>
          </w:tcPr>
          <w:p w14:paraId="48189839" w14:textId="22EE91F6" w:rsidR="00EA690E" w:rsidRPr="00EA690E" w:rsidRDefault="00EA690E" w:rsidP="00C75AA3">
            <w:pPr>
              <w:pStyle w:val="BodyText1"/>
              <w:ind w:left="127"/>
            </w:pPr>
            <w:r w:rsidRPr="00C75AA3">
              <w:t xml:space="preserve">Assessed in the wetland </w:t>
            </w:r>
          </w:p>
        </w:tc>
        <w:tc>
          <w:tcPr>
            <w:tcW w:w="1263" w:type="pct"/>
            <w:noWrap/>
            <w:tcMar>
              <w:top w:w="0" w:type="dxa"/>
              <w:left w:w="108" w:type="dxa"/>
              <w:bottom w:w="0" w:type="dxa"/>
              <w:right w:w="108" w:type="dxa"/>
            </w:tcMar>
          </w:tcPr>
          <w:p w14:paraId="7294901B" w14:textId="356243C3" w:rsidR="00EA690E" w:rsidRPr="00EA690E" w:rsidRDefault="00EA690E" w:rsidP="00C75AA3">
            <w:pPr>
              <w:pStyle w:val="BodyText1"/>
            </w:pPr>
            <w:r w:rsidRPr="00C75AA3">
              <w:t>Environmental standard for wetlands or other SEPA agreed standard</w:t>
            </w:r>
          </w:p>
        </w:tc>
        <w:tc>
          <w:tcPr>
            <w:tcW w:w="1210" w:type="pct"/>
            <w:noWrap/>
            <w:tcMar>
              <w:top w:w="0" w:type="dxa"/>
              <w:left w:w="108" w:type="dxa"/>
              <w:bottom w:w="0" w:type="dxa"/>
              <w:right w:w="108" w:type="dxa"/>
            </w:tcMar>
          </w:tcPr>
          <w:p w14:paraId="48694E00" w14:textId="15CE6EED" w:rsidR="00EA690E" w:rsidRPr="00EA690E" w:rsidRDefault="00EA690E" w:rsidP="00C75AA3">
            <w:pPr>
              <w:pStyle w:val="BodyText1"/>
            </w:pPr>
            <w:r w:rsidRPr="00C75AA3">
              <w:t xml:space="preserve">Annual average </w:t>
            </w:r>
          </w:p>
        </w:tc>
      </w:tr>
    </w:tbl>
    <w:p w14:paraId="2D509D1C" w14:textId="77777777" w:rsidR="001B2780" w:rsidRDefault="001B2780" w:rsidP="003542E7"/>
    <w:p w14:paraId="16BED4E9" w14:textId="3E5DED45" w:rsidR="001B2780" w:rsidRPr="009553A5" w:rsidRDefault="00DB29FA" w:rsidP="001B2780">
      <w:pPr>
        <w:pStyle w:val="Heading2"/>
        <w:rPr>
          <w:rFonts w:eastAsia="Times New Roman"/>
        </w:rPr>
      </w:pPr>
      <w:bookmarkStart w:id="7" w:name="_Toc193716124"/>
      <w:r>
        <w:rPr>
          <w:rFonts w:eastAsia="Times New Roman"/>
        </w:rPr>
        <w:t>3.3</w:t>
      </w:r>
      <w:r>
        <w:rPr>
          <w:rFonts w:eastAsia="Times New Roman"/>
        </w:rPr>
        <w:tab/>
      </w:r>
      <w:r w:rsidR="00392390">
        <w:rPr>
          <w:rFonts w:eastAsia="Times New Roman"/>
        </w:rPr>
        <w:t>Objectives 3</w:t>
      </w:r>
      <w:r w:rsidR="004A191B">
        <w:rPr>
          <w:rFonts w:eastAsia="Times New Roman"/>
        </w:rPr>
        <w:t xml:space="preserve"> </w:t>
      </w:r>
      <w:r w:rsidR="00392390">
        <w:rPr>
          <w:rFonts w:eastAsia="Times New Roman"/>
        </w:rPr>
        <w:t xml:space="preserve">&amp; 4: </w:t>
      </w:r>
      <w:r w:rsidR="00F548FC">
        <w:rPr>
          <w:rFonts w:eastAsia="Times New Roman"/>
        </w:rPr>
        <w:t xml:space="preserve">Prevent deterioration </w:t>
      </w:r>
      <w:r w:rsidR="00A51985">
        <w:rPr>
          <w:rFonts w:eastAsia="Times New Roman"/>
        </w:rPr>
        <w:t xml:space="preserve">in status </w:t>
      </w:r>
      <w:r w:rsidR="00F548FC">
        <w:rPr>
          <w:rFonts w:eastAsia="Times New Roman"/>
        </w:rPr>
        <w:t xml:space="preserve">and </w:t>
      </w:r>
      <w:r w:rsidR="000A7E71">
        <w:rPr>
          <w:rFonts w:eastAsia="Times New Roman"/>
        </w:rPr>
        <w:t xml:space="preserve">restore </w:t>
      </w:r>
      <w:r w:rsidR="000A7E71" w:rsidRPr="009553A5">
        <w:rPr>
          <w:rFonts w:eastAsia="Times New Roman"/>
        </w:rPr>
        <w:t>to good status</w:t>
      </w:r>
      <w:bookmarkEnd w:id="7"/>
    </w:p>
    <w:p w14:paraId="18A0DCB9" w14:textId="42AE6918" w:rsidR="001362EC" w:rsidRDefault="00B85D4F" w:rsidP="00C75AA3">
      <w:pPr>
        <w:pStyle w:val="BodyText1"/>
        <w:rPr>
          <w:highlight w:val="yellow"/>
        </w:rPr>
      </w:pPr>
      <w:r w:rsidRPr="00C75AA3">
        <w:t>Inputs</w:t>
      </w:r>
      <w:r w:rsidR="000A7E71" w:rsidRPr="00C75AA3">
        <w:t xml:space="preserve"> of pollutants must be </w:t>
      </w:r>
      <w:r w:rsidR="006D3ECA" w:rsidRPr="00C75AA3">
        <w:t>controlled</w:t>
      </w:r>
      <w:r w:rsidR="000A7E71" w:rsidRPr="00C75AA3">
        <w:t xml:space="preserve"> to </w:t>
      </w:r>
      <w:r w:rsidR="00566DE9" w:rsidRPr="00C75AA3">
        <w:t xml:space="preserve">prevent </w:t>
      </w:r>
      <w:r w:rsidRPr="00C75AA3">
        <w:t>deterioration</w:t>
      </w:r>
      <w:r w:rsidR="00566DE9" w:rsidRPr="00C75AA3">
        <w:t xml:space="preserve"> in the </w:t>
      </w:r>
      <w:r w:rsidRPr="00C75AA3">
        <w:t>status</w:t>
      </w:r>
      <w:r w:rsidR="00566DE9" w:rsidRPr="00C75AA3">
        <w:t xml:space="preserve"> of a groundwater body. Groundwater bodies at poor </w:t>
      </w:r>
      <w:r w:rsidRPr="00C75AA3">
        <w:t>status</w:t>
      </w:r>
      <w:r w:rsidR="00566DE9" w:rsidRPr="00C75AA3">
        <w:t xml:space="preserve"> should be restore</w:t>
      </w:r>
      <w:r w:rsidR="00A51985" w:rsidRPr="00C75AA3">
        <w:t>d</w:t>
      </w:r>
      <w:r w:rsidR="00566DE9" w:rsidRPr="00C75AA3">
        <w:t xml:space="preserve"> to </w:t>
      </w:r>
      <w:r w:rsidRPr="00C75AA3">
        <w:t xml:space="preserve">good status. </w:t>
      </w:r>
    </w:p>
    <w:p w14:paraId="0319B407" w14:textId="35CB6CC5" w:rsidR="00B85D4F" w:rsidRDefault="00B85D4F" w:rsidP="00C75AA3">
      <w:pPr>
        <w:pStyle w:val="BodyText1"/>
      </w:pPr>
      <w:r>
        <w:t xml:space="preserve">This objective also applies </w:t>
      </w:r>
      <w:r w:rsidR="1630F4AD">
        <w:t xml:space="preserve">to </w:t>
      </w:r>
      <w:r w:rsidR="003357CE">
        <w:t xml:space="preserve">groundwater </w:t>
      </w:r>
      <w:r>
        <w:t>hazardous substances that have</w:t>
      </w:r>
      <w:r w:rsidRPr="00AD266A">
        <w:t xml:space="preserve"> already entered groundwater</w:t>
      </w:r>
      <w:r>
        <w:t xml:space="preserve"> from</w:t>
      </w:r>
      <w:r w:rsidRPr="00D33332">
        <w:t xml:space="preserve"> historical land contamination</w:t>
      </w:r>
      <w:r>
        <w:t>. It</w:t>
      </w:r>
      <w:r w:rsidRPr="00D33332">
        <w:t xml:space="preserve"> do</w:t>
      </w:r>
      <w:r>
        <w:t>es</w:t>
      </w:r>
      <w:r w:rsidRPr="00D33332">
        <w:t xml:space="preserve"> not apply to new or ongoing hazardous substance inputs, which should </w:t>
      </w:r>
      <w:r>
        <w:t>be controlled to prevent deterioration, see Objective 1.</w:t>
      </w:r>
    </w:p>
    <w:p w14:paraId="01830116" w14:textId="33543207" w:rsidR="009D0D4C" w:rsidRPr="00C75AA3" w:rsidRDefault="00B85D4F" w:rsidP="00C75AA3">
      <w:pPr>
        <w:pStyle w:val="BodyText1"/>
      </w:pPr>
      <w:r>
        <w:t>You should assess the impact on the</w:t>
      </w:r>
      <w:r w:rsidR="002F7771">
        <w:t xml:space="preserve"> receptors set out in Table 3 using the standards in that table.  </w:t>
      </w:r>
    </w:p>
    <w:p w14:paraId="3005F553" w14:textId="7DF436D3" w:rsidR="00B85D4F" w:rsidRPr="009D0D4C" w:rsidRDefault="00C02605" w:rsidP="00C75AA3">
      <w:pPr>
        <w:pStyle w:val="BodyText1"/>
      </w:pPr>
      <w:r w:rsidRPr="009513BF">
        <w:rPr>
          <w:b/>
          <w:bCs/>
        </w:rPr>
        <w:t xml:space="preserve">Table </w:t>
      </w:r>
      <w:r>
        <w:rPr>
          <w:b/>
          <w:bCs/>
        </w:rPr>
        <w:t>3</w:t>
      </w:r>
      <w:r w:rsidRPr="009513BF">
        <w:rPr>
          <w:b/>
          <w:bCs/>
        </w:rPr>
        <w:t xml:space="preserve">: Groundwater standards to assess </w:t>
      </w:r>
      <w:r>
        <w:rPr>
          <w:b/>
          <w:bCs/>
        </w:rPr>
        <w:t>good groundwater chemical status.</w:t>
      </w:r>
    </w:p>
    <w:tbl>
      <w:tblPr>
        <w:tblW w:w="5058" w:type="pct"/>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4A0" w:firstRow="1" w:lastRow="0" w:firstColumn="1" w:lastColumn="0" w:noHBand="0" w:noVBand="1"/>
        <w:tblCaption w:val="Table 3: Groundwater standards to assess good chemical groundwater status"/>
        <w:tblDescription w:val="This table has four columns:&#10;Receptor&#10;Spatial assessment rules&#10;Assessment concentration&#10;Assessment statistic"/>
      </w:tblPr>
      <w:tblGrid>
        <w:gridCol w:w="2683"/>
        <w:gridCol w:w="2836"/>
        <w:gridCol w:w="3119"/>
        <w:gridCol w:w="1682"/>
      </w:tblGrid>
      <w:tr w:rsidR="00303BAC" w:rsidRPr="00684F5A" w14:paraId="6C7EEA66" w14:textId="77777777" w:rsidTr="00E26326">
        <w:trPr>
          <w:cantSplit/>
          <w:trHeight w:val="610"/>
          <w:tblHeader/>
        </w:trPr>
        <w:tc>
          <w:tcPr>
            <w:tcW w:w="1300" w:type="pct"/>
            <w:shd w:val="clear" w:color="auto" w:fill="016574" w:themeFill="accent6"/>
          </w:tcPr>
          <w:p w14:paraId="1B94EC94" w14:textId="77777777" w:rsidR="00303BAC" w:rsidRDefault="00303BAC">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lastRenderedPageBreak/>
              <w:t>Receptor</w:t>
            </w:r>
          </w:p>
        </w:tc>
        <w:tc>
          <w:tcPr>
            <w:tcW w:w="1374" w:type="pct"/>
            <w:shd w:val="clear" w:color="auto" w:fill="016574" w:themeFill="accent6"/>
            <w:vAlign w:val="center"/>
          </w:tcPr>
          <w:p w14:paraId="3B44A7CF" w14:textId="77777777" w:rsidR="00303BAC" w:rsidRDefault="00303BAC">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Spatial assessment rules</w:t>
            </w:r>
          </w:p>
        </w:tc>
        <w:tc>
          <w:tcPr>
            <w:tcW w:w="1511" w:type="pct"/>
            <w:shd w:val="clear" w:color="auto" w:fill="016574" w:themeFill="accent6"/>
            <w:noWrap/>
            <w:tcMar>
              <w:top w:w="0" w:type="dxa"/>
              <w:left w:w="108" w:type="dxa"/>
              <w:bottom w:w="0" w:type="dxa"/>
              <w:right w:w="108" w:type="dxa"/>
            </w:tcMar>
            <w:vAlign w:val="center"/>
            <w:hideMark/>
          </w:tcPr>
          <w:p w14:paraId="53E672F6" w14:textId="77777777" w:rsidR="00303BAC" w:rsidRPr="00684F5A" w:rsidRDefault="00303BAC">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Assessment concentration </w:t>
            </w:r>
          </w:p>
        </w:tc>
        <w:tc>
          <w:tcPr>
            <w:tcW w:w="815" w:type="pct"/>
            <w:shd w:val="clear" w:color="auto" w:fill="016574" w:themeFill="accent6"/>
            <w:noWrap/>
            <w:tcMar>
              <w:top w:w="0" w:type="dxa"/>
              <w:left w:w="108" w:type="dxa"/>
              <w:bottom w:w="0" w:type="dxa"/>
              <w:right w:w="108" w:type="dxa"/>
            </w:tcMar>
            <w:vAlign w:val="center"/>
            <w:hideMark/>
          </w:tcPr>
          <w:p w14:paraId="4AD51B23" w14:textId="77777777" w:rsidR="00303BAC" w:rsidRPr="00684F5A" w:rsidRDefault="00303BAC">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Assessment statistic </w:t>
            </w:r>
          </w:p>
        </w:tc>
      </w:tr>
      <w:tr w:rsidR="00303BAC" w:rsidRPr="00684F5A" w14:paraId="309689E9" w14:textId="77777777" w:rsidTr="00E26326">
        <w:trPr>
          <w:cantSplit/>
          <w:trHeight w:val="315"/>
          <w:tblHeader/>
        </w:trPr>
        <w:tc>
          <w:tcPr>
            <w:tcW w:w="1300" w:type="pct"/>
          </w:tcPr>
          <w:p w14:paraId="5BF33F58" w14:textId="77777777" w:rsidR="00303BAC" w:rsidRPr="00055D1B" w:rsidRDefault="00303BAC" w:rsidP="00C75AA3">
            <w:pPr>
              <w:pStyle w:val="BodyText1"/>
              <w:ind w:left="127"/>
            </w:pPr>
            <w:r w:rsidRPr="00055D1B">
              <w:t>Future groundwater resource</w:t>
            </w:r>
          </w:p>
        </w:tc>
        <w:tc>
          <w:tcPr>
            <w:tcW w:w="1374" w:type="pct"/>
          </w:tcPr>
          <w:p w14:paraId="2E5D91BD" w14:textId="2A903923" w:rsidR="00D97BE1" w:rsidRPr="00055D1B" w:rsidRDefault="003357CE" w:rsidP="00C75AA3">
            <w:pPr>
              <w:pStyle w:val="BodyText1"/>
              <w:ind w:left="127"/>
            </w:pPr>
            <w:r>
              <w:t>Groundwater h</w:t>
            </w:r>
            <w:r w:rsidR="00D97BE1" w:rsidRPr="00055D1B">
              <w:t>azardous substances exceed standard over 20 hectares</w:t>
            </w:r>
            <w:r w:rsidR="002C1FB6" w:rsidRPr="004956F4">
              <w:rPr>
                <w:rStyle w:val="FootnoteReference"/>
              </w:rPr>
              <w:footnoteReference w:id="3"/>
            </w:r>
            <w:r w:rsidR="00D97BE1" w:rsidRPr="00055D1B">
              <w:t>.  </w:t>
            </w:r>
          </w:p>
          <w:p w14:paraId="1DD1E937" w14:textId="47AA11EF" w:rsidR="00303BAC" w:rsidRPr="00C75AA3" w:rsidRDefault="00D97BE1" w:rsidP="00C75AA3">
            <w:pPr>
              <w:pStyle w:val="BodyText1"/>
              <w:ind w:left="127"/>
            </w:pPr>
            <w:r w:rsidRPr="00055D1B">
              <w:t>Non-hazardous substances exceed standard when averaged across groundwater body   </w:t>
            </w:r>
          </w:p>
        </w:tc>
        <w:tc>
          <w:tcPr>
            <w:tcW w:w="1511" w:type="pct"/>
            <w:noWrap/>
            <w:tcMar>
              <w:top w:w="0" w:type="dxa"/>
              <w:left w:w="108" w:type="dxa"/>
              <w:bottom w:w="0" w:type="dxa"/>
              <w:right w:w="108" w:type="dxa"/>
            </w:tcMar>
          </w:tcPr>
          <w:p w14:paraId="18EC9915" w14:textId="77777777" w:rsidR="00303BAC" w:rsidRPr="00055D1B" w:rsidRDefault="00303BAC" w:rsidP="00C75AA3">
            <w:pPr>
              <w:pStyle w:val="BodyText1"/>
            </w:pPr>
            <w:r w:rsidRPr="00055D1B">
              <w:t xml:space="preserve">Threshold Value  </w:t>
            </w:r>
          </w:p>
        </w:tc>
        <w:tc>
          <w:tcPr>
            <w:tcW w:w="815" w:type="pct"/>
            <w:noWrap/>
            <w:tcMar>
              <w:top w:w="0" w:type="dxa"/>
              <w:left w:w="108" w:type="dxa"/>
              <w:bottom w:w="0" w:type="dxa"/>
              <w:right w:w="108" w:type="dxa"/>
            </w:tcMar>
          </w:tcPr>
          <w:p w14:paraId="47B973A6" w14:textId="77777777" w:rsidR="00303BAC" w:rsidRPr="00055D1B" w:rsidRDefault="00303BAC" w:rsidP="00C75AA3">
            <w:pPr>
              <w:pStyle w:val="BodyText1"/>
            </w:pPr>
            <w:r w:rsidRPr="00055D1B">
              <w:t xml:space="preserve">Annual average </w:t>
            </w:r>
          </w:p>
        </w:tc>
      </w:tr>
      <w:tr w:rsidR="00303BAC" w:rsidRPr="00684F5A" w14:paraId="082886EF" w14:textId="77777777" w:rsidTr="00E26326">
        <w:trPr>
          <w:cantSplit/>
          <w:trHeight w:val="315"/>
          <w:tblHeader/>
        </w:trPr>
        <w:tc>
          <w:tcPr>
            <w:tcW w:w="1300" w:type="pct"/>
          </w:tcPr>
          <w:p w14:paraId="1A358AFC" w14:textId="0943201D" w:rsidR="00303BAC" w:rsidRPr="00055D1B" w:rsidRDefault="00303BAC" w:rsidP="00C75AA3">
            <w:pPr>
              <w:pStyle w:val="BodyText1"/>
              <w:ind w:left="127"/>
            </w:pPr>
            <w:r w:rsidRPr="00055D1B">
              <w:t>Current abstractions for human consumption</w:t>
            </w:r>
          </w:p>
        </w:tc>
        <w:tc>
          <w:tcPr>
            <w:tcW w:w="1374" w:type="pct"/>
          </w:tcPr>
          <w:p w14:paraId="1321A923" w14:textId="77777777" w:rsidR="00303BAC" w:rsidRPr="00055D1B" w:rsidRDefault="00303BAC" w:rsidP="00C75AA3">
            <w:pPr>
              <w:pStyle w:val="BodyText1"/>
              <w:ind w:left="127"/>
            </w:pPr>
            <w:r w:rsidRPr="00055D1B">
              <w:t xml:space="preserve">Assessed in abstraction prior to treatment </w:t>
            </w:r>
          </w:p>
        </w:tc>
        <w:tc>
          <w:tcPr>
            <w:tcW w:w="1511" w:type="pct"/>
            <w:noWrap/>
            <w:tcMar>
              <w:top w:w="0" w:type="dxa"/>
              <w:left w:w="108" w:type="dxa"/>
              <w:bottom w:w="0" w:type="dxa"/>
              <w:right w:w="108" w:type="dxa"/>
            </w:tcMar>
            <w:hideMark/>
          </w:tcPr>
          <w:p w14:paraId="0FCC0F15" w14:textId="27D6CAD6" w:rsidR="00303BAC" w:rsidRPr="00C75AA3" w:rsidRDefault="00D97BE1" w:rsidP="00C75AA3">
            <w:pPr>
              <w:pStyle w:val="BodyText1"/>
            </w:pPr>
            <w:r w:rsidRPr="00055D1B">
              <w:t xml:space="preserve">Drinking </w:t>
            </w:r>
            <w:r w:rsidR="00C16364" w:rsidRPr="00055D1B">
              <w:t>W</w:t>
            </w:r>
            <w:r w:rsidRPr="00055D1B">
              <w:t xml:space="preserve">ater </w:t>
            </w:r>
            <w:r w:rsidR="00C16364" w:rsidRPr="00055D1B">
              <w:t>S</w:t>
            </w:r>
            <w:r w:rsidRPr="00055D1B">
              <w:t xml:space="preserve">tandard </w:t>
            </w:r>
            <w:r w:rsidR="00C16364" w:rsidRPr="00055D1B">
              <w:t>plus upward trend in concentrations</w:t>
            </w:r>
            <w:r w:rsidR="00F235A9" w:rsidRPr="00055D1B">
              <w:rPr>
                <w:rStyle w:val="FootnoteReference"/>
                <w:vertAlign w:val="baseline"/>
              </w:rPr>
              <w:footnoteReference w:id="4"/>
            </w:r>
            <w:r w:rsidR="00C16364" w:rsidRPr="00055D1B">
              <w:t>.</w:t>
            </w:r>
            <w:r w:rsidR="00303BAC" w:rsidRPr="00055D1B">
              <w:t xml:space="preserve"> </w:t>
            </w:r>
          </w:p>
        </w:tc>
        <w:tc>
          <w:tcPr>
            <w:tcW w:w="815" w:type="pct"/>
            <w:noWrap/>
            <w:tcMar>
              <w:top w:w="0" w:type="dxa"/>
              <w:left w:w="108" w:type="dxa"/>
              <w:bottom w:w="0" w:type="dxa"/>
              <w:right w:w="108" w:type="dxa"/>
            </w:tcMar>
            <w:hideMark/>
          </w:tcPr>
          <w:p w14:paraId="226B4450" w14:textId="77777777" w:rsidR="00303BAC" w:rsidRPr="00C75AA3" w:rsidRDefault="00303BAC" w:rsidP="00C75AA3">
            <w:pPr>
              <w:pStyle w:val="BodyText1"/>
            </w:pPr>
            <w:r w:rsidRPr="00055D1B">
              <w:t xml:space="preserve">Maximum </w:t>
            </w:r>
          </w:p>
        </w:tc>
      </w:tr>
      <w:tr w:rsidR="00303BAC" w:rsidRPr="00684F5A" w14:paraId="43BF36B1" w14:textId="77777777" w:rsidTr="00E26326">
        <w:trPr>
          <w:cantSplit/>
          <w:trHeight w:val="315"/>
          <w:tblHeader/>
        </w:trPr>
        <w:tc>
          <w:tcPr>
            <w:tcW w:w="1300" w:type="pct"/>
          </w:tcPr>
          <w:p w14:paraId="15CD3872" w14:textId="5EF22313" w:rsidR="00303BAC" w:rsidRPr="00055D1B" w:rsidRDefault="00303BAC" w:rsidP="00C75AA3">
            <w:pPr>
              <w:pStyle w:val="BodyText1"/>
              <w:ind w:left="127"/>
            </w:pPr>
            <w:r w:rsidRPr="00055D1B">
              <w:t xml:space="preserve">Surface water bodies </w:t>
            </w:r>
          </w:p>
        </w:tc>
        <w:tc>
          <w:tcPr>
            <w:tcW w:w="1374" w:type="pct"/>
          </w:tcPr>
          <w:p w14:paraId="7CFB3B09" w14:textId="122B49DE" w:rsidR="00303BAC" w:rsidRPr="00055D1B" w:rsidRDefault="00303BAC" w:rsidP="00C75AA3">
            <w:pPr>
              <w:pStyle w:val="BodyText1"/>
              <w:ind w:left="127"/>
            </w:pPr>
            <w:r w:rsidRPr="00055D1B">
              <w:t>Assessed in surface water following mixing</w:t>
            </w:r>
            <w:r w:rsidR="00555EDF" w:rsidRPr="00055D1B">
              <w:t xml:space="preserve"> taking into account the spatial rules</w:t>
            </w:r>
            <w:r w:rsidR="00B80ECC" w:rsidRPr="0004273E">
              <w:rPr>
                <w:rStyle w:val="FootnoteReference"/>
              </w:rPr>
              <w:footnoteReference w:id="5"/>
            </w:r>
            <w:r w:rsidR="00555EDF" w:rsidRPr="00C75AA3">
              <w:rPr>
                <w:vertAlign w:val="superscript"/>
              </w:rPr>
              <w:t>.</w:t>
            </w:r>
            <w:r w:rsidRPr="00055D1B">
              <w:t xml:space="preserve"> </w:t>
            </w:r>
          </w:p>
        </w:tc>
        <w:tc>
          <w:tcPr>
            <w:tcW w:w="1511" w:type="pct"/>
            <w:noWrap/>
            <w:tcMar>
              <w:top w:w="0" w:type="dxa"/>
              <w:left w:w="108" w:type="dxa"/>
              <w:bottom w:w="0" w:type="dxa"/>
              <w:right w:w="108" w:type="dxa"/>
            </w:tcMar>
          </w:tcPr>
          <w:p w14:paraId="4D14CF5D" w14:textId="77777777" w:rsidR="00303BAC" w:rsidRPr="00055D1B" w:rsidRDefault="00303BAC" w:rsidP="00C75AA3">
            <w:pPr>
              <w:pStyle w:val="BodyText1"/>
            </w:pPr>
            <w:r w:rsidRPr="00055D1B">
              <w:t>Environmental standard for surface waters or other SEPA agreed standard</w:t>
            </w:r>
          </w:p>
        </w:tc>
        <w:tc>
          <w:tcPr>
            <w:tcW w:w="815" w:type="pct"/>
            <w:noWrap/>
            <w:tcMar>
              <w:top w:w="0" w:type="dxa"/>
              <w:left w:w="108" w:type="dxa"/>
              <w:bottom w:w="0" w:type="dxa"/>
              <w:right w:w="108" w:type="dxa"/>
            </w:tcMar>
          </w:tcPr>
          <w:p w14:paraId="32640FCF" w14:textId="4E633D4C" w:rsidR="00303BAC" w:rsidRPr="00055D1B" w:rsidRDefault="00871AF3" w:rsidP="00C75AA3">
            <w:pPr>
              <w:pStyle w:val="BodyText1"/>
            </w:pPr>
            <w:r>
              <w:t xml:space="preserve">The relevant assessment statistic for the pollutants in surface water. </w:t>
            </w:r>
            <w:r w:rsidRPr="00C75AA3">
              <w:t xml:space="preserve"> </w:t>
            </w:r>
          </w:p>
        </w:tc>
      </w:tr>
      <w:tr w:rsidR="00303BAC" w:rsidRPr="00684F5A" w14:paraId="28BBBB49" w14:textId="77777777" w:rsidTr="00E26326">
        <w:trPr>
          <w:cantSplit/>
          <w:trHeight w:val="315"/>
          <w:tblHeader/>
        </w:trPr>
        <w:tc>
          <w:tcPr>
            <w:tcW w:w="1300" w:type="pct"/>
          </w:tcPr>
          <w:p w14:paraId="19A1EA83" w14:textId="36EECAD7" w:rsidR="00303BAC" w:rsidRPr="00055D1B" w:rsidRDefault="00303BAC" w:rsidP="00C75AA3">
            <w:pPr>
              <w:pStyle w:val="BodyText1"/>
              <w:ind w:left="127"/>
            </w:pPr>
            <w:r w:rsidRPr="00055D1B">
              <w:t>Groundwater dependent wetlands designated as Natura 2000 or SSSI sites</w:t>
            </w:r>
          </w:p>
        </w:tc>
        <w:tc>
          <w:tcPr>
            <w:tcW w:w="1374" w:type="pct"/>
          </w:tcPr>
          <w:p w14:paraId="73AE5EA1" w14:textId="77777777" w:rsidR="00303BAC" w:rsidRPr="00055D1B" w:rsidRDefault="00303BAC" w:rsidP="00C75AA3">
            <w:pPr>
              <w:pStyle w:val="BodyText1"/>
              <w:ind w:left="127"/>
            </w:pPr>
            <w:r w:rsidRPr="00055D1B">
              <w:t xml:space="preserve">Assessed in the wetland </w:t>
            </w:r>
          </w:p>
        </w:tc>
        <w:tc>
          <w:tcPr>
            <w:tcW w:w="1511" w:type="pct"/>
            <w:noWrap/>
            <w:tcMar>
              <w:top w:w="0" w:type="dxa"/>
              <w:left w:w="108" w:type="dxa"/>
              <w:bottom w:w="0" w:type="dxa"/>
              <w:right w:w="108" w:type="dxa"/>
            </w:tcMar>
          </w:tcPr>
          <w:p w14:paraId="03714BCA" w14:textId="77777777" w:rsidR="00303BAC" w:rsidRPr="00055D1B" w:rsidRDefault="00303BAC" w:rsidP="00C75AA3">
            <w:pPr>
              <w:pStyle w:val="BodyText1"/>
            </w:pPr>
            <w:r w:rsidRPr="00055D1B">
              <w:t>Environmental standard for wetlands or other SEPA agreed standard</w:t>
            </w:r>
          </w:p>
        </w:tc>
        <w:tc>
          <w:tcPr>
            <w:tcW w:w="815" w:type="pct"/>
            <w:noWrap/>
            <w:tcMar>
              <w:top w:w="0" w:type="dxa"/>
              <w:left w:w="108" w:type="dxa"/>
              <w:bottom w:w="0" w:type="dxa"/>
              <w:right w:w="108" w:type="dxa"/>
            </w:tcMar>
          </w:tcPr>
          <w:p w14:paraId="2C753D41" w14:textId="77777777" w:rsidR="00303BAC" w:rsidRPr="00055D1B" w:rsidRDefault="00303BAC" w:rsidP="00C75AA3">
            <w:pPr>
              <w:pStyle w:val="BodyText1"/>
            </w:pPr>
            <w:r w:rsidRPr="00055D1B">
              <w:t xml:space="preserve">Annual average </w:t>
            </w:r>
          </w:p>
        </w:tc>
      </w:tr>
    </w:tbl>
    <w:p w14:paraId="1C0901E4" w14:textId="25D801B5" w:rsidR="00236FEF" w:rsidRDefault="00DB29FA" w:rsidP="002E4C30">
      <w:pPr>
        <w:pStyle w:val="Heading2"/>
        <w:rPr>
          <w:rFonts w:eastAsia="Times New Roman"/>
        </w:rPr>
      </w:pPr>
      <w:bookmarkStart w:id="8" w:name="_Toc193716125"/>
      <w:r>
        <w:rPr>
          <w:rFonts w:eastAsia="Times New Roman"/>
        </w:rPr>
        <w:lastRenderedPageBreak/>
        <w:t>3.4</w:t>
      </w:r>
      <w:r>
        <w:rPr>
          <w:rFonts w:eastAsia="Times New Roman"/>
        </w:rPr>
        <w:tab/>
      </w:r>
      <w:r w:rsidR="00236FEF">
        <w:rPr>
          <w:rFonts w:eastAsia="Times New Roman"/>
        </w:rPr>
        <w:t>Objectives 5: Prevent direct discharges to groundwate</w:t>
      </w:r>
      <w:r w:rsidR="000B354B">
        <w:rPr>
          <w:rFonts w:eastAsia="Times New Roman"/>
        </w:rPr>
        <w:t>r</w:t>
      </w:r>
      <w:bookmarkEnd w:id="8"/>
    </w:p>
    <w:p w14:paraId="29361746" w14:textId="2E5C4197" w:rsidR="00CE01B9" w:rsidRPr="00C75AA3" w:rsidRDefault="000B354B" w:rsidP="00C75AA3">
      <w:pPr>
        <w:pStyle w:val="BodyText1"/>
      </w:pPr>
      <w:r>
        <w:t xml:space="preserve">For </w:t>
      </w:r>
      <w:r w:rsidR="003357CE">
        <w:t xml:space="preserve">groundwater </w:t>
      </w:r>
      <w:r>
        <w:t xml:space="preserve">hazardous substances you should determine if </w:t>
      </w:r>
      <w:r w:rsidR="00CE01B9" w:rsidRPr="00C75AA3">
        <w:t xml:space="preserve">Environmental Standards for inputs into groundwater of hazardous substances is exceeded at the point of entry into groundwater. </w:t>
      </w:r>
    </w:p>
    <w:p w14:paraId="22C98937" w14:textId="0417923E" w:rsidR="00B85D4F" w:rsidRPr="00C75AA3" w:rsidRDefault="00CE01B9" w:rsidP="00C75AA3">
      <w:pPr>
        <w:pStyle w:val="BodyText1"/>
      </w:pPr>
      <w:r>
        <w:t>For non-</w:t>
      </w:r>
      <w:r w:rsidR="00910103">
        <w:t>hazardous</w:t>
      </w:r>
      <w:r>
        <w:t xml:space="preserve"> </w:t>
      </w:r>
      <w:r w:rsidR="00910103">
        <w:t>substances</w:t>
      </w:r>
      <w:r>
        <w:t xml:space="preserve"> </w:t>
      </w:r>
      <w:r w:rsidR="001061DC">
        <w:t xml:space="preserve">you should determine </w:t>
      </w:r>
      <w:r w:rsidR="00910103">
        <w:t xml:space="preserve">if the threshold value is exceeded at the point of entry into groundwater.  </w:t>
      </w:r>
      <w:r w:rsidR="000B354B">
        <w:t xml:space="preserve">This is assessed as an annual average. </w:t>
      </w:r>
    </w:p>
    <w:p w14:paraId="358702A9" w14:textId="41D72FB9" w:rsidR="001F1C82" w:rsidRDefault="00E1776A" w:rsidP="00D945C1">
      <w:pPr>
        <w:pStyle w:val="BodyText1"/>
      </w:pPr>
      <w:r>
        <w:t>This objective</w:t>
      </w:r>
      <w:r w:rsidR="001B3FA0">
        <w:t xml:space="preserve"> only applies to groundwater which is less than 400 m depth below ground level and which is located inland of the mean high water springs tidal limit, or groundwater </w:t>
      </w:r>
      <w:r w:rsidR="00694267">
        <w:t>at depth</w:t>
      </w:r>
      <w:r w:rsidR="000E3EDC">
        <w:t>s</w:t>
      </w:r>
      <w:r w:rsidR="00694267">
        <w:t xml:space="preserve"> greater than</w:t>
      </w:r>
      <w:r w:rsidR="001B3FA0">
        <w:t xml:space="preserve"> 400 m below ground level and/or below mean high water springs if there is a pathway for contaminants to reach surface ecosystems.</w:t>
      </w:r>
    </w:p>
    <w:p w14:paraId="3F624A63" w14:textId="043D8D17" w:rsidR="003C1654" w:rsidRDefault="00C151FE" w:rsidP="00C75AA3">
      <w:pPr>
        <w:pStyle w:val="Heading1"/>
        <w:numPr>
          <w:ilvl w:val="0"/>
          <w:numId w:val="62"/>
        </w:numPr>
        <w:ind w:hanging="720"/>
        <w:rPr>
          <w:rFonts w:eastAsia="Times New Roman"/>
        </w:rPr>
      </w:pPr>
      <w:bookmarkStart w:id="9" w:name="_Toc193716126"/>
      <w:r>
        <w:rPr>
          <w:rFonts w:eastAsia="Times New Roman"/>
        </w:rPr>
        <w:t>Demonstrating</w:t>
      </w:r>
      <w:r w:rsidR="003C1654">
        <w:rPr>
          <w:rFonts w:eastAsia="Times New Roman"/>
        </w:rPr>
        <w:t xml:space="preserve"> </w:t>
      </w:r>
      <w:r>
        <w:rPr>
          <w:rFonts w:eastAsia="Times New Roman"/>
        </w:rPr>
        <w:t>compliance with objectives</w:t>
      </w:r>
      <w:bookmarkEnd w:id="9"/>
    </w:p>
    <w:p w14:paraId="788C7B71" w14:textId="79AEBD5E" w:rsidR="00AB4A93" w:rsidRDefault="00AB4A93" w:rsidP="00AB4A93">
      <w:pPr>
        <w:spacing w:after="247"/>
        <w:ind w:left="-5" w:right="10"/>
      </w:pPr>
      <w:r>
        <w:t xml:space="preserve">This section sets out </w:t>
      </w:r>
      <w:r w:rsidR="00C41F83">
        <w:t>how you should demonstrate if the</w:t>
      </w:r>
      <w:r>
        <w:t xml:space="preserve"> groundwater objectives </w:t>
      </w:r>
      <w:r w:rsidR="00C41F83">
        <w:t xml:space="preserve">can </w:t>
      </w:r>
      <w:r>
        <w:t xml:space="preserve">be achieved. </w:t>
      </w:r>
      <w:r w:rsidR="00DE5EE7">
        <w:t>You must consider both the source and associated downgradient plume.</w:t>
      </w:r>
    </w:p>
    <w:p w14:paraId="785550E4" w14:textId="3FA3ACB2" w:rsidR="00AB4A93" w:rsidRDefault="000D50A4" w:rsidP="00AB4A93">
      <w:pPr>
        <w:pStyle w:val="Heading2"/>
        <w:rPr>
          <w:rFonts w:eastAsia="Times New Roman"/>
        </w:rPr>
      </w:pPr>
      <w:bookmarkStart w:id="10" w:name="_Toc193716127"/>
      <w:r>
        <w:rPr>
          <w:rFonts w:eastAsia="Times New Roman"/>
        </w:rPr>
        <w:t>4.1</w:t>
      </w:r>
      <w:r>
        <w:rPr>
          <w:rFonts w:eastAsia="Times New Roman"/>
        </w:rPr>
        <w:tab/>
      </w:r>
      <w:r w:rsidR="00AB4A93">
        <w:rPr>
          <w:rFonts w:eastAsia="Times New Roman"/>
        </w:rPr>
        <w:t xml:space="preserve">Low </w:t>
      </w:r>
      <w:r w:rsidR="00976A44">
        <w:rPr>
          <w:rFonts w:eastAsia="Times New Roman"/>
        </w:rPr>
        <w:t xml:space="preserve">risk </w:t>
      </w:r>
      <w:r w:rsidR="00AB4A93">
        <w:rPr>
          <w:rFonts w:eastAsia="Times New Roman"/>
        </w:rPr>
        <w:t>activities</w:t>
      </w:r>
      <w:bookmarkEnd w:id="10"/>
    </w:p>
    <w:p w14:paraId="2D9D0344" w14:textId="7AB9FB53" w:rsidR="00E943B6" w:rsidRPr="00523221" w:rsidRDefault="00E8544A" w:rsidP="00523221">
      <w:pPr>
        <w:pStyle w:val="BodyText1"/>
      </w:pPr>
      <w:r w:rsidRPr="00523221">
        <w:t xml:space="preserve">You don’t need to </w:t>
      </w:r>
      <w:r w:rsidR="00A35010" w:rsidRPr="00523221">
        <w:t xml:space="preserve">carry out a </w:t>
      </w:r>
      <w:r w:rsidR="007937AB" w:rsidRPr="00523221">
        <w:t xml:space="preserve">site-specific </w:t>
      </w:r>
      <w:r w:rsidR="007A37F9" w:rsidRPr="00523221">
        <w:t>quantitative</w:t>
      </w:r>
      <w:r w:rsidR="00A35010" w:rsidRPr="00523221">
        <w:t xml:space="preserve"> risk assessment to demonstrate you can meet the </w:t>
      </w:r>
      <w:r w:rsidR="007A37F9" w:rsidRPr="00523221">
        <w:t xml:space="preserve">standards for low risk activities. </w:t>
      </w:r>
      <w:r w:rsidR="00300DAB" w:rsidRPr="00523221">
        <w:t>Low</w:t>
      </w:r>
      <w:r w:rsidR="00300DAB" w:rsidRPr="00523221" w:rsidDel="00976A44">
        <w:t xml:space="preserve"> </w:t>
      </w:r>
      <w:r w:rsidR="00976A44" w:rsidRPr="00523221">
        <w:t>risk</w:t>
      </w:r>
      <w:r w:rsidR="00300DAB" w:rsidRPr="00523221">
        <w:t xml:space="preserve"> activities are those where generic assessment of risks is </w:t>
      </w:r>
      <w:r w:rsidR="00756F66" w:rsidRPr="00523221">
        <w:t>normally</w:t>
      </w:r>
      <w:r w:rsidR="00300DAB" w:rsidRPr="00523221">
        <w:t xml:space="preserve"> adequate taking into account the typical scale of the activity and the likely consistency between sites in terms of contaminant type and loading.</w:t>
      </w:r>
    </w:p>
    <w:p w14:paraId="4EEEDD37" w14:textId="4F5956AA" w:rsidR="00E6691B" w:rsidRPr="00523221" w:rsidRDefault="00300DAB" w:rsidP="00523221">
      <w:pPr>
        <w:pStyle w:val="BodyText1"/>
      </w:pPr>
      <w:r w:rsidRPr="00523221">
        <w:t xml:space="preserve">To </w:t>
      </w:r>
      <w:r w:rsidR="00D35F20" w:rsidRPr="00523221">
        <w:t xml:space="preserve">assess the impact on the water environment from these activities you should determine if you can meet </w:t>
      </w:r>
      <w:r w:rsidRPr="00523221">
        <w:t>generic criteria</w:t>
      </w:r>
      <w:r w:rsidR="00D35F20" w:rsidRPr="00523221">
        <w:t xml:space="preserve"> as set out in SEPA guidance</w:t>
      </w:r>
      <w:r w:rsidRPr="00523221">
        <w:t xml:space="preserve">. </w:t>
      </w:r>
      <w:r w:rsidR="008845E4" w:rsidRPr="00523221">
        <w:t xml:space="preserve">For specific low </w:t>
      </w:r>
      <w:r w:rsidR="00976A44" w:rsidRPr="00523221">
        <w:t>risk</w:t>
      </w:r>
      <w:r w:rsidR="008845E4" w:rsidRPr="00523221">
        <w:t xml:space="preserve"> development </w:t>
      </w:r>
      <w:r w:rsidR="008845E4" w:rsidRPr="00523221">
        <w:lastRenderedPageBreak/>
        <w:t xml:space="preserve">activities this may be in our standard planning guidance for local authorities.  </w:t>
      </w:r>
      <w:r w:rsidRPr="00523221">
        <w:t xml:space="preserve">If these criteria and rules are met, the activity can proceed without breaching the objectives.  </w:t>
      </w:r>
    </w:p>
    <w:p w14:paraId="2D540320" w14:textId="5A855379" w:rsidR="00A41ED1" w:rsidRDefault="00A41ED1" w:rsidP="00F5293E">
      <w:pPr>
        <w:pStyle w:val="BodyText1"/>
      </w:pPr>
      <w:r>
        <w:t xml:space="preserve">Low </w:t>
      </w:r>
      <w:r w:rsidR="00976A44">
        <w:t>risk</w:t>
      </w:r>
      <w:r>
        <w:t xml:space="preserve"> activities include,</w:t>
      </w:r>
      <w:r w:rsidRPr="00A41ED1">
        <w:t xml:space="preserve"> </w:t>
      </w:r>
      <w:r>
        <w:t>but are not limited to:</w:t>
      </w:r>
    </w:p>
    <w:p w14:paraId="62C998FB" w14:textId="63218881" w:rsidR="00A41ED1" w:rsidRDefault="00E6691B" w:rsidP="00C75AA3">
      <w:pPr>
        <w:pStyle w:val="BodyText1"/>
        <w:numPr>
          <w:ilvl w:val="0"/>
          <w:numId w:val="65"/>
        </w:numPr>
      </w:pPr>
      <w:r>
        <w:t>A</w:t>
      </w:r>
      <w:r w:rsidR="00300DAB">
        <w:t>ctivities regulated by SEPA using registrations or general binding rules</w:t>
      </w:r>
      <w:r w:rsidR="00A41ED1">
        <w:t>.</w:t>
      </w:r>
      <w:r w:rsidR="00300DAB">
        <w:t xml:space="preserve"> </w:t>
      </w:r>
    </w:p>
    <w:p w14:paraId="5CB74F5C" w14:textId="6906EE61" w:rsidR="00A41ED1" w:rsidRDefault="00A41ED1" w:rsidP="00C75AA3">
      <w:pPr>
        <w:pStyle w:val="BodyText1"/>
        <w:numPr>
          <w:ilvl w:val="0"/>
          <w:numId w:val="65"/>
        </w:numPr>
      </w:pPr>
      <w:r>
        <w:t>S</w:t>
      </w:r>
      <w:r w:rsidR="00300DAB">
        <w:t xml:space="preserve">mall septic tank discharges </w:t>
      </w:r>
      <w:r w:rsidR="00300DAB" w:rsidRPr="00C75AA3">
        <w:t>(</w:t>
      </w:r>
      <w:r w:rsidR="00A70FEB">
        <w:rPr>
          <w:rFonts w:cstheme="minorHAnsi"/>
        </w:rPr>
        <w:t>≤</w:t>
      </w:r>
      <w:r w:rsidR="004F7E34" w:rsidRPr="00C75AA3">
        <w:t>50</w:t>
      </w:r>
      <w:r w:rsidR="00300DAB" w:rsidRPr="00C75AA3">
        <w:t xml:space="preserve"> </w:t>
      </w:r>
      <w:r w:rsidR="004F7E34" w:rsidRPr="00C75AA3">
        <w:t>p.e</w:t>
      </w:r>
      <w:r w:rsidR="00300DAB" w:rsidRPr="00C75AA3">
        <w:t>)</w:t>
      </w:r>
      <w:r>
        <w:t>.</w:t>
      </w:r>
    </w:p>
    <w:p w14:paraId="08FF7D64" w14:textId="3095A3FC" w:rsidR="00A41ED1" w:rsidRDefault="00A41ED1" w:rsidP="00C75AA3">
      <w:pPr>
        <w:pStyle w:val="BodyText1"/>
        <w:numPr>
          <w:ilvl w:val="0"/>
          <w:numId w:val="65"/>
        </w:numPr>
      </w:pPr>
      <w:r>
        <w:t>G</w:t>
      </w:r>
      <w:r w:rsidR="00300DAB">
        <w:t>routing of former mine workings</w:t>
      </w:r>
      <w:r>
        <w:t>.</w:t>
      </w:r>
    </w:p>
    <w:p w14:paraId="71B2383F" w14:textId="370BE067" w:rsidR="008845E4" w:rsidRDefault="00A41ED1" w:rsidP="008845E4">
      <w:pPr>
        <w:pStyle w:val="BodyText1"/>
        <w:numPr>
          <w:ilvl w:val="0"/>
          <w:numId w:val="65"/>
        </w:numPr>
      </w:pPr>
      <w:r w:rsidRPr="00A41ED1">
        <w:t>S</w:t>
      </w:r>
      <w:r w:rsidR="00300DAB" w:rsidRPr="00A41ED1">
        <w:t>mall cemeteries</w:t>
      </w:r>
      <w:r>
        <w:t>.</w:t>
      </w:r>
      <w:r w:rsidR="00300DAB" w:rsidRPr="00A41ED1" w:rsidDel="00A41ED1">
        <w:t xml:space="preserve"> </w:t>
      </w:r>
    </w:p>
    <w:p w14:paraId="3F9D4167" w14:textId="435515B4" w:rsidR="006306D9" w:rsidRDefault="006306D9" w:rsidP="008845E4">
      <w:pPr>
        <w:pStyle w:val="BodyText1"/>
        <w:numPr>
          <w:ilvl w:val="0"/>
          <w:numId w:val="65"/>
        </w:numPr>
      </w:pPr>
      <w:r>
        <w:t xml:space="preserve">Most site investigation and drilling activities. </w:t>
      </w:r>
    </w:p>
    <w:p w14:paraId="0BBBA389" w14:textId="77777777" w:rsidR="00300DAB" w:rsidRDefault="00300DAB" w:rsidP="00C75AA3">
      <w:pPr>
        <w:pStyle w:val="BodyText1"/>
      </w:pPr>
      <w:r>
        <w:t xml:space="preserve">Examples of types of generic criteria include: </w:t>
      </w:r>
    </w:p>
    <w:p w14:paraId="387D7744" w14:textId="1E4CA1BD" w:rsidR="00300DAB" w:rsidRDefault="002C6E59" w:rsidP="00C75AA3">
      <w:pPr>
        <w:pStyle w:val="BodyText1"/>
        <w:numPr>
          <w:ilvl w:val="0"/>
          <w:numId w:val="64"/>
        </w:numPr>
      </w:pPr>
      <w:r>
        <w:t>S</w:t>
      </w:r>
      <w:r w:rsidR="00300DAB">
        <w:t>oil thickness</w:t>
      </w:r>
      <w:r>
        <w:t>.</w:t>
      </w:r>
      <w:r w:rsidR="00300DAB">
        <w:t xml:space="preserve"> </w:t>
      </w:r>
    </w:p>
    <w:p w14:paraId="405543E5" w14:textId="7CE58588" w:rsidR="00300DAB" w:rsidRDefault="002C6E59" w:rsidP="00C75AA3">
      <w:pPr>
        <w:pStyle w:val="BodyText1"/>
        <w:numPr>
          <w:ilvl w:val="0"/>
          <w:numId w:val="64"/>
        </w:numPr>
      </w:pPr>
      <w:r>
        <w:t>S</w:t>
      </w:r>
      <w:r w:rsidR="00300DAB">
        <w:t>oil type</w:t>
      </w:r>
      <w:r>
        <w:t>.</w:t>
      </w:r>
      <w:r w:rsidR="00300DAB">
        <w:t xml:space="preserve"> </w:t>
      </w:r>
    </w:p>
    <w:p w14:paraId="221A7A04" w14:textId="0C40A340" w:rsidR="00300DAB" w:rsidRDefault="002C6E59" w:rsidP="00C75AA3">
      <w:pPr>
        <w:pStyle w:val="BodyText1"/>
        <w:numPr>
          <w:ilvl w:val="0"/>
          <w:numId w:val="64"/>
        </w:numPr>
      </w:pPr>
      <w:r>
        <w:t>D</w:t>
      </w:r>
      <w:r w:rsidR="00300DAB">
        <w:t>epth to groundwater</w:t>
      </w:r>
      <w:r>
        <w:t>.</w:t>
      </w:r>
      <w:r w:rsidR="00300DAB">
        <w:t xml:space="preserve"> </w:t>
      </w:r>
    </w:p>
    <w:p w14:paraId="6CC7AC6A" w14:textId="26C39702" w:rsidR="00300DAB" w:rsidRDefault="002C6E59" w:rsidP="00C75AA3">
      <w:pPr>
        <w:pStyle w:val="BodyText1"/>
        <w:numPr>
          <w:ilvl w:val="0"/>
          <w:numId w:val="64"/>
        </w:numPr>
      </w:pPr>
      <w:r>
        <w:t>P</w:t>
      </w:r>
      <w:r w:rsidR="00300DAB">
        <w:t>roximity to abstractions or surface waters</w:t>
      </w:r>
      <w:r>
        <w:t>.</w:t>
      </w:r>
      <w:r w:rsidR="00300DAB">
        <w:t xml:space="preserve"> </w:t>
      </w:r>
    </w:p>
    <w:p w14:paraId="004F13D5" w14:textId="33184561" w:rsidR="00300DAB" w:rsidRPr="00300DAB" w:rsidRDefault="00300DAB" w:rsidP="00736284">
      <w:pPr>
        <w:pStyle w:val="BodyText1"/>
      </w:pPr>
      <w:r>
        <w:t>If</w:t>
      </w:r>
      <w:r w:rsidR="004A256E">
        <w:t xml:space="preserve"> you can’t meet</w:t>
      </w:r>
      <w:r>
        <w:t xml:space="preserve"> the generic criteria and standard rules, </w:t>
      </w:r>
      <w:r w:rsidR="004A256E">
        <w:t xml:space="preserve">you should follow </w:t>
      </w:r>
      <w:r>
        <w:t xml:space="preserve">the approach outlined for higher </w:t>
      </w:r>
      <w:r w:rsidR="00976A44">
        <w:t xml:space="preserve">risk </w:t>
      </w:r>
      <w:r>
        <w:t xml:space="preserve">activities </w:t>
      </w:r>
      <w:r w:rsidR="004A256E">
        <w:t>set out in</w:t>
      </w:r>
      <w:r>
        <w:t xml:space="preserve"> </w:t>
      </w:r>
      <w:hyperlink w:anchor="_4.2_High_hazard" w:history="1">
        <w:r w:rsidRPr="004A256E">
          <w:rPr>
            <w:rStyle w:val="Hyperlink"/>
          </w:rPr>
          <w:t>Section 4.2.</w:t>
        </w:r>
      </w:hyperlink>
      <w:r>
        <w:t xml:space="preserve"> </w:t>
      </w:r>
    </w:p>
    <w:p w14:paraId="5DF5CE25" w14:textId="0B7DDFA2" w:rsidR="00300DAB" w:rsidRDefault="002A4C9F" w:rsidP="00242F33">
      <w:pPr>
        <w:pStyle w:val="Heading2"/>
        <w:rPr>
          <w:rFonts w:eastAsia="Times New Roman"/>
        </w:rPr>
      </w:pPr>
      <w:bookmarkStart w:id="11" w:name="_4.2_High_hazard"/>
      <w:bookmarkStart w:id="12" w:name="_Toc193716128"/>
      <w:bookmarkEnd w:id="11"/>
      <w:r>
        <w:rPr>
          <w:rFonts w:eastAsia="Times New Roman"/>
        </w:rPr>
        <w:t>4.2</w:t>
      </w:r>
      <w:r>
        <w:rPr>
          <w:rFonts w:eastAsia="Times New Roman"/>
        </w:rPr>
        <w:tab/>
      </w:r>
      <w:r w:rsidR="00300DAB">
        <w:rPr>
          <w:rFonts w:eastAsia="Times New Roman"/>
        </w:rPr>
        <w:t xml:space="preserve">High </w:t>
      </w:r>
      <w:r w:rsidR="00976A44">
        <w:rPr>
          <w:rFonts w:eastAsia="Times New Roman"/>
        </w:rPr>
        <w:t xml:space="preserve">risk </w:t>
      </w:r>
      <w:r w:rsidR="00300DAB">
        <w:rPr>
          <w:rFonts w:eastAsia="Times New Roman"/>
        </w:rPr>
        <w:t>activities</w:t>
      </w:r>
      <w:bookmarkEnd w:id="12"/>
    </w:p>
    <w:p w14:paraId="4FD67347" w14:textId="6B2D38FB" w:rsidR="00C9626A" w:rsidRPr="00523221" w:rsidRDefault="00C9626A" w:rsidP="00523221">
      <w:pPr>
        <w:pStyle w:val="BodyText1"/>
      </w:pPr>
      <w:r w:rsidRPr="00523221">
        <w:t xml:space="preserve">For higher </w:t>
      </w:r>
      <w:r w:rsidR="004E59A0" w:rsidRPr="00523221">
        <w:t xml:space="preserve">risk </w:t>
      </w:r>
      <w:r w:rsidRPr="00523221">
        <w:t xml:space="preserve">activities, </w:t>
      </w:r>
      <w:r w:rsidR="00C72175" w:rsidRPr="00523221">
        <w:t>you should undertake</w:t>
      </w:r>
      <w:r w:rsidRPr="00523221">
        <w:t xml:space="preserve"> a site-specific risk assessment</w:t>
      </w:r>
      <w:r w:rsidR="00C72175" w:rsidRPr="00523221">
        <w:t>.</w:t>
      </w:r>
      <w:r w:rsidRPr="00523221" w:rsidDel="00C72175">
        <w:t xml:space="preserve"> </w:t>
      </w:r>
      <w:r w:rsidRPr="00523221">
        <w:t xml:space="preserve">This should be based on a site-specific conceptual site model (CSM), supported by appropriate site characterisation. The CSM should be used to identify relevant pollutant linkages using a Source-Pathway-Receptor approach. </w:t>
      </w:r>
    </w:p>
    <w:p w14:paraId="40898F90" w14:textId="36BA11B4" w:rsidR="00AB4A93" w:rsidRPr="00523221" w:rsidRDefault="00C9626A" w:rsidP="00523221">
      <w:pPr>
        <w:pStyle w:val="BodyText1"/>
      </w:pPr>
      <w:r w:rsidRPr="00523221">
        <w:t xml:space="preserve">Where relevant pollutant linkages exist, </w:t>
      </w:r>
      <w:r w:rsidR="005C065A" w:rsidRPr="00523221">
        <w:t xml:space="preserve">you </w:t>
      </w:r>
      <w:r w:rsidR="00363DF6" w:rsidRPr="00523221">
        <w:t xml:space="preserve">should </w:t>
      </w:r>
      <w:r w:rsidR="005C065A" w:rsidRPr="00523221">
        <w:t xml:space="preserve">undertake </w:t>
      </w:r>
      <w:r w:rsidRPr="00523221">
        <w:t>a phased approach to the detailed quantitative risk assessment</w:t>
      </w:r>
      <w:r w:rsidRPr="00523221" w:rsidDel="005C065A">
        <w:t xml:space="preserve"> </w:t>
      </w:r>
      <w:r w:rsidR="005C065A" w:rsidRPr="00523221">
        <w:t>as set out</w:t>
      </w:r>
      <w:r w:rsidRPr="00523221" w:rsidDel="005C065A">
        <w:t xml:space="preserve"> </w:t>
      </w:r>
      <w:r w:rsidRPr="00523221">
        <w:t xml:space="preserve">in Annex 3.  </w:t>
      </w:r>
    </w:p>
    <w:p w14:paraId="065450D9" w14:textId="72B5F5D2" w:rsidR="00C9626A" w:rsidRDefault="00C9626A" w:rsidP="00C75AA3">
      <w:pPr>
        <w:pStyle w:val="Heading1"/>
        <w:numPr>
          <w:ilvl w:val="0"/>
          <w:numId w:val="62"/>
        </w:numPr>
        <w:ind w:hanging="720"/>
        <w:rPr>
          <w:rFonts w:eastAsia="Times New Roman"/>
        </w:rPr>
      </w:pPr>
      <w:bookmarkStart w:id="13" w:name="_Next_steps_if"/>
      <w:bookmarkStart w:id="14" w:name="_Toc193716129"/>
      <w:bookmarkEnd w:id="13"/>
      <w:r>
        <w:rPr>
          <w:rFonts w:eastAsia="Times New Roman"/>
        </w:rPr>
        <w:lastRenderedPageBreak/>
        <w:t>Next steps if objective may not be achieved</w:t>
      </w:r>
      <w:bookmarkEnd w:id="14"/>
    </w:p>
    <w:p w14:paraId="51D4E541" w14:textId="7186BBB6" w:rsidR="00C84EA7" w:rsidRPr="002D4D26" w:rsidDel="00633794" w:rsidRDefault="00F11803" w:rsidP="00C75AA3">
      <w:pPr>
        <w:pStyle w:val="BodyText1"/>
      </w:pPr>
      <w:r>
        <w:t xml:space="preserve">Where risks to groundwater exist, it </w:t>
      </w:r>
      <w:r w:rsidR="00B52FCC">
        <w:t>may not always be feasible to meet the Groundwater Standards</w:t>
      </w:r>
      <w:r w:rsidR="0067270A">
        <w:t xml:space="preserve"> in full</w:t>
      </w:r>
      <w:r w:rsidR="00B52FCC">
        <w:t xml:space="preserve">. Similarly, in some circumstances, meeting the Groundwater Standards may not represent the best overall option for human health or the quality of the environment as a whole.  </w:t>
      </w:r>
      <w:r w:rsidR="00633794" w:rsidRPr="002D4D26">
        <w:t xml:space="preserve">This section sets out scenarios where </w:t>
      </w:r>
      <w:r w:rsidR="002B5C4C">
        <w:t xml:space="preserve">you may </w:t>
      </w:r>
      <w:r w:rsidR="00633794" w:rsidRPr="002D4D26">
        <w:t>consider whether an exemption from meeting the groundwater objectives applies.</w:t>
      </w:r>
      <w:r w:rsidR="00633794" w:rsidRPr="002D4D26" w:rsidDel="00B22829">
        <w:t xml:space="preserve"> </w:t>
      </w:r>
    </w:p>
    <w:p w14:paraId="7F641C86" w14:textId="15480AEE" w:rsidR="00C84EA7" w:rsidRDefault="00E3122B" w:rsidP="00523221">
      <w:pPr>
        <w:pStyle w:val="BodyText1"/>
      </w:pPr>
      <w:r w:rsidRPr="00CD5238">
        <w:t xml:space="preserve">The application of exemptions will take account of what is technically feasible. </w:t>
      </w:r>
      <w:r w:rsidR="00E4454C" w:rsidRPr="002D4D26">
        <w:t>Technica</w:t>
      </w:r>
      <w:r w:rsidR="00E4454C">
        <w:t>l</w:t>
      </w:r>
      <w:r w:rsidR="00E4454C" w:rsidRPr="002D4D26">
        <w:t xml:space="preserve"> </w:t>
      </w:r>
      <w:r w:rsidRPr="002D4D26">
        <w:t>feasibility can vary from site to site depending on local ground conditions, the environmental setting, and the nature, concentrations and mobility of the contaminants in question. Th</w:t>
      </w:r>
      <w:r w:rsidR="00242965">
        <w:t>erefore</w:t>
      </w:r>
      <w:r w:rsidRPr="002D4D26">
        <w:t xml:space="preserve">, some professional judgement will be required. In addition, scientific and engineering advances mean that technical feasibility may change over time. </w:t>
      </w:r>
    </w:p>
    <w:p w14:paraId="0235378C" w14:textId="0E8EA9B7" w:rsidR="00C84EA7" w:rsidRDefault="00E3122B" w:rsidP="00523221">
      <w:pPr>
        <w:pStyle w:val="BodyText1"/>
      </w:pPr>
      <w:r>
        <w:t xml:space="preserve">For new activities, </w:t>
      </w:r>
      <w:r w:rsidR="00B5680E">
        <w:t>you must follow</w:t>
      </w:r>
      <w:r>
        <w:t xml:space="preserve"> best practice. For existing authorised activities, </w:t>
      </w:r>
      <w:r w:rsidR="00B5680E">
        <w:t>you must follow</w:t>
      </w:r>
      <w:r>
        <w:t xml:space="preserve"> best practice as far as practicable. However, </w:t>
      </w:r>
      <w:r w:rsidR="00CA5755">
        <w:t xml:space="preserve">you can </w:t>
      </w:r>
      <w:r>
        <w:t xml:space="preserve">consider whether implementing additional measures would increase the risks to human health or the quality of the environment as a whole. </w:t>
      </w:r>
    </w:p>
    <w:p w14:paraId="7E8330F7" w14:textId="66D0096F" w:rsidR="008C055A" w:rsidRPr="006F7B94" w:rsidRDefault="00E3122B" w:rsidP="00523221">
      <w:pPr>
        <w:pStyle w:val="BodyText1"/>
      </w:pPr>
      <w:r>
        <w:t xml:space="preserve">For historical land contamination, </w:t>
      </w:r>
      <w:r w:rsidR="00892026">
        <w:t xml:space="preserve">you can </w:t>
      </w:r>
      <w:r>
        <w:t>consider</w:t>
      </w:r>
      <w:r w:rsidR="00892026">
        <w:t xml:space="preserve"> if</w:t>
      </w:r>
      <w:r>
        <w:t xml:space="preserve"> remedial measures are disproportionately costly or would increase the risks to human health or the quality of the environment as a whole. For further details regarding historical land contamination, </w:t>
      </w:r>
      <w:r w:rsidR="00D5335E">
        <w:t xml:space="preserve">you should </w:t>
      </w:r>
      <w:r>
        <w:t xml:space="preserve">refer to SEPA Guidance Land Contamination and Impacts on the Water Environment, commonly known as the </w:t>
      </w:r>
      <w:r w:rsidRPr="006F7B94">
        <w:t>‘Brown Booklet</w:t>
      </w:r>
      <w:hyperlink r:id="rId14">
        <w:r w:rsidRPr="006F7B94">
          <w:t>’</w:t>
        </w:r>
      </w:hyperlink>
      <w:r w:rsidR="006F7B94">
        <w:t>.</w:t>
      </w:r>
    </w:p>
    <w:p w14:paraId="64BF28B4" w14:textId="05A1BB2C" w:rsidR="008C055A" w:rsidRPr="0047335A" w:rsidRDefault="00E3122B" w:rsidP="00523221">
      <w:pPr>
        <w:pStyle w:val="BodyText1"/>
      </w:pPr>
      <w:r>
        <w:t>Exemption on the grounds of disproportionate cost only applies to</w:t>
      </w:r>
      <w:r w:rsidRPr="000725B1">
        <w:t xml:space="preserve"> measures to remove quantities of pollutants from, or otherwise control their </w:t>
      </w:r>
      <w:r>
        <w:t>transport</w:t>
      </w:r>
      <w:r w:rsidRPr="000725B1">
        <w:t xml:space="preserve"> in, contaminated ground or subsoil</w:t>
      </w:r>
      <w:r>
        <w:t>. Th</w:t>
      </w:r>
      <w:r w:rsidR="008C055A">
        <w:t>erefore</w:t>
      </w:r>
      <w:r w:rsidDel="008C055A">
        <w:t>,</w:t>
      </w:r>
      <w:r>
        <w:t xml:space="preserve"> this exemption may only be applied to existing historical contamination and not to new or ongoing activities. </w:t>
      </w:r>
      <w:r w:rsidRPr="0047335A">
        <w:t xml:space="preserve">However, </w:t>
      </w:r>
      <w:r>
        <w:t>SEPA</w:t>
      </w:r>
      <w:r w:rsidRPr="0047335A">
        <w:t xml:space="preserve"> do</w:t>
      </w:r>
      <w:r>
        <w:t>es</w:t>
      </w:r>
      <w:r w:rsidRPr="0047335A">
        <w:t xml:space="preserve"> not consider that remediation of source zones and/or groundwater plumes will always be disproportionately costly. </w:t>
      </w:r>
    </w:p>
    <w:p w14:paraId="0F1F874F" w14:textId="77777777" w:rsidR="00E3122B" w:rsidRPr="0047335A" w:rsidRDefault="00E3122B" w:rsidP="00523221">
      <w:pPr>
        <w:pStyle w:val="BodyText1"/>
      </w:pPr>
      <w:r w:rsidRPr="0047335A">
        <w:t xml:space="preserve">The assessment of disproportionate cost may include several factors such as: </w:t>
      </w:r>
    </w:p>
    <w:p w14:paraId="4796AD87" w14:textId="28963A76" w:rsidR="00E3122B" w:rsidRPr="0047335A" w:rsidRDefault="009133CB" w:rsidP="00523221">
      <w:pPr>
        <w:pStyle w:val="BodyText1"/>
      </w:pPr>
      <w:r>
        <w:t>T</w:t>
      </w:r>
      <w:r w:rsidR="00E3122B" w:rsidRPr="0047335A">
        <w:t>he scale of the contamination impacts and the sensitivity of affected receptors</w:t>
      </w:r>
      <w:r>
        <w:t>.</w:t>
      </w:r>
    </w:p>
    <w:p w14:paraId="7A8BE6FC" w14:textId="264D928A" w:rsidR="00E3122B" w:rsidRPr="0047335A" w:rsidRDefault="009133CB" w:rsidP="00523221">
      <w:pPr>
        <w:pStyle w:val="BodyText1"/>
      </w:pPr>
      <w:r>
        <w:lastRenderedPageBreak/>
        <w:t>T</w:t>
      </w:r>
      <w:r w:rsidR="00E3122B" w:rsidRPr="0047335A">
        <w:t>he expected timescales for contamination impacts to persist without remediation</w:t>
      </w:r>
      <w:r>
        <w:t>.</w:t>
      </w:r>
      <w:r w:rsidR="00E3122B">
        <w:t xml:space="preserve"> </w:t>
      </w:r>
    </w:p>
    <w:p w14:paraId="642954AB" w14:textId="08FB9187" w:rsidR="00E3122B" w:rsidRPr="0047335A" w:rsidRDefault="009133CB" w:rsidP="00523221">
      <w:pPr>
        <w:pStyle w:val="BodyText1"/>
      </w:pPr>
      <w:r>
        <w:t>S</w:t>
      </w:r>
      <w:r w:rsidR="00E3122B" w:rsidRPr="0047335A">
        <w:t>ocio-economic factors relating to the redevelopment works</w:t>
      </w:r>
      <w:r>
        <w:t>.</w:t>
      </w:r>
      <w:r w:rsidR="00E3122B" w:rsidRPr="0047335A">
        <w:t xml:space="preserve"> </w:t>
      </w:r>
    </w:p>
    <w:p w14:paraId="20A21F88" w14:textId="360A8FE8" w:rsidR="00E3122B" w:rsidRPr="0047335A" w:rsidRDefault="009133CB" w:rsidP="00523221">
      <w:pPr>
        <w:pStyle w:val="BodyText1"/>
      </w:pPr>
      <w:r>
        <w:t>T</w:t>
      </w:r>
      <w:r w:rsidR="00E3122B" w:rsidRPr="0047335A">
        <w:t xml:space="preserve">he likely cost of remedial works including monitoring and validation. </w:t>
      </w:r>
    </w:p>
    <w:p w14:paraId="4F3005D5" w14:textId="194C9DC6" w:rsidR="008C055A" w:rsidRDefault="00E3122B" w:rsidP="00523221">
      <w:pPr>
        <w:pStyle w:val="BodyText1"/>
      </w:pPr>
      <w:r>
        <w:t>E</w:t>
      </w:r>
      <w:r w:rsidRPr="0047335A">
        <w:t>ven if complete remediation is deemed to be</w:t>
      </w:r>
      <w:r w:rsidRPr="000C199D">
        <w:t xml:space="preserve"> disproportionately costly at a particular site, this does not necessarily mean that partial remediation of that site will also be disproportionately costly. </w:t>
      </w:r>
    </w:p>
    <w:p w14:paraId="18E6CFC3" w14:textId="09DD54EF" w:rsidR="00466CBB" w:rsidRPr="00523221" w:rsidRDefault="008C055A" w:rsidP="00523221">
      <w:pPr>
        <w:pStyle w:val="BodyText1"/>
        <w:rPr>
          <w:rFonts w:eastAsia="Times New Roman"/>
        </w:rPr>
      </w:pPr>
      <w:r>
        <w:t>S</w:t>
      </w:r>
      <w:r w:rsidR="00E3122B">
        <w:t>ome sites may have both historical land contamination and current regulated activities. The nature and expected duration of the current regulated activities may influence the technical feasibility and acceptable timescales for remediation of the historical land contamination.</w:t>
      </w:r>
    </w:p>
    <w:p w14:paraId="69BD3AE3" w14:textId="78938C55" w:rsidR="00466CBB" w:rsidRDefault="00EB067A" w:rsidP="0015152F">
      <w:pPr>
        <w:pStyle w:val="Heading2"/>
        <w:rPr>
          <w:rFonts w:eastAsia="Times New Roman"/>
        </w:rPr>
      </w:pPr>
      <w:bookmarkStart w:id="15" w:name="_Toc193716130"/>
      <w:r>
        <w:rPr>
          <w:rFonts w:eastAsia="Times New Roman"/>
        </w:rPr>
        <w:t>5.1</w:t>
      </w:r>
      <w:r>
        <w:rPr>
          <w:rFonts w:eastAsia="Times New Roman"/>
        </w:rPr>
        <w:tab/>
      </w:r>
      <w:r w:rsidR="0015152F">
        <w:rPr>
          <w:rFonts w:eastAsia="Times New Roman"/>
        </w:rPr>
        <w:t xml:space="preserve">Scenarios </w:t>
      </w:r>
      <w:r w:rsidR="00A85B21">
        <w:rPr>
          <w:rFonts w:eastAsia="Times New Roman"/>
        </w:rPr>
        <w:t>where</w:t>
      </w:r>
      <w:r w:rsidR="0015152F">
        <w:rPr>
          <w:rFonts w:eastAsia="Times New Roman"/>
        </w:rPr>
        <w:t xml:space="preserve"> </w:t>
      </w:r>
      <w:r w:rsidR="00826416">
        <w:rPr>
          <w:rFonts w:eastAsia="Times New Roman"/>
        </w:rPr>
        <w:t>SEPA</w:t>
      </w:r>
      <w:r w:rsidR="00EB115D">
        <w:rPr>
          <w:rFonts w:eastAsia="Times New Roman"/>
        </w:rPr>
        <w:t xml:space="preserve"> will consider </w:t>
      </w:r>
      <w:r w:rsidR="00740B71">
        <w:rPr>
          <w:rFonts w:eastAsia="Times New Roman"/>
        </w:rPr>
        <w:t xml:space="preserve">exemption from meeting </w:t>
      </w:r>
      <w:r w:rsidR="003B1894">
        <w:rPr>
          <w:rFonts w:eastAsia="Times New Roman"/>
        </w:rPr>
        <w:t>o</w:t>
      </w:r>
      <w:r w:rsidR="00846600">
        <w:rPr>
          <w:rFonts w:eastAsia="Times New Roman"/>
        </w:rPr>
        <w:t>bjective 1</w:t>
      </w:r>
      <w:r w:rsidR="002709EF">
        <w:rPr>
          <w:rFonts w:eastAsia="Times New Roman"/>
        </w:rPr>
        <w:t xml:space="preserve"> </w:t>
      </w:r>
      <w:r w:rsidR="00E435DE">
        <w:rPr>
          <w:rFonts w:eastAsia="Times New Roman"/>
        </w:rPr>
        <w:t xml:space="preserve">to </w:t>
      </w:r>
      <w:r w:rsidR="003B1894">
        <w:rPr>
          <w:rFonts w:eastAsia="Times New Roman"/>
        </w:rPr>
        <w:t>c</w:t>
      </w:r>
      <w:r w:rsidR="00466CBB">
        <w:rPr>
          <w:rFonts w:eastAsia="Times New Roman"/>
        </w:rPr>
        <w:t xml:space="preserve">ontrol inputs of </w:t>
      </w:r>
      <w:r w:rsidR="003357CE">
        <w:rPr>
          <w:rFonts w:eastAsia="Times New Roman"/>
        </w:rPr>
        <w:t xml:space="preserve">groundwater </w:t>
      </w:r>
      <w:r w:rsidR="00466CBB">
        <w:rPr>
          <w:rFonts w:eastAsia="Times New Roman"/>
        </w:rPr>
        <w:t>hazardous substances</w:t>
      </w:r>
      <w:bookmarkEnd w:id="15"/>
    </w:p>
    <w:p w14:paraId="53CF7B9D" w14:textId="5C8533CF" w:rsidR="78AA4B59" w:rsidRDefault="001B7147" w:rsidP="00523221">
      <w:pPr>
        <w:pStyle w:val="BodyText1"/>
      </w:pPr>
      <w:r>
        <w:t>These are the factors you can take into account when you are requesting that the regulator applies an exemption.</w:t>
      </w:r>
    </w:p>
    <w:p w14:paraId="66B4282F" w14:textId="5EA98B05" w:rsidR="00991F3D" w:rsidRDefault="00DB5213" w:rsidP="0095157E">
      <w:pPr>
        <w:pStyle w:val="Heading3"/>
        <w:rPr>
          <w:rFonts w:eastAsia="Times New Roman"/>
          <w:lang w:eastAsia="en-GB"/>
        </w:rPr>
      </w:pPr>
      <w:bookmarkStart w:id="16" w:name="_Toc193716131"/>
      <w:r>
        <w:rPr>
          <w:rFonts w:eastAsia="Times New Roman"/>
          <w:lang w:eastAsia="en-GB"/>
        </w:rPr>
        <w:t>5.1.1</w:t>
      </w:r>
      <w:r w:rsidR="00B51B88">
        <w:rPr>
          <w:rFonts w:eastAsia="Times New Roman"/>
          <w:lang w:eastAsia="en-GB"/>
        </w:rPr>
        <w:t xml:space="preserve"> </w:t>
      </w:r>
      <w:r w:rsidR="0095157E">
        <w:rPr>
          <w:rFonts w:eastAsia="Times New Roman"/>
          <w:lang w:eastAsia="en-GB"/>
        </w:rPr>
        <w:t>Inputs from historical land contamination</w:t>
      </w:r>
      <w:bookmarkEnd w:id="16"/>
    </w:p>
    <w:p w14:paraId="3E36F8A4" w14:textId="1160D5BA" w:rsidR="0095157E" w:rsidRPr="00AE518D" w:rsidRDefault="0095157E" w:rsidP="00C75AA3">
      <w:pPr>
        <w:pStyle w:val="BodyText1"/>
      </w:pPr>
      <w:r>
        <w:t>I</w:t>
      </w:r>
      <w:r w:rsidRPr="00AE518D">
        <w:t>f measures to achieve the objective are disproportionately costly or would increase the risks to human health or the quality of the environment as a whole.   </w:t>
      </w:r>
    </w:p>
    <w:p w14:paraId="5DED85CA" w14:textId="561FC7D0" w:rsidR="0095157E" w:rsidRDefault="0095157E" w:rsidP="00C75AA3">
      <w:pPr>
        <w:pStyle w:val="BodyText1"/>
      </w:pPr>
      <w:r w:rsidRPr="00AE518D">
        <w:t xml:space="preserve">Action beyond remediation of the sources of </w:t>
      </w:r>
      <w:r w:rsidR="003357CE">
        <w:t xml:space="preserve">groundwater </w:t>
      </w:r>
      <w:r w:rsidRPr="00AE518D">
        <w:t>hazardous substances as far as practicable is considered to be disproportionately costly and may not need to be undertaken provided Objectives 3 and 5 are met.   </w:t>
      </w:r>
    </w:p>
    <w:p w14:paraId="7C328AE5" w14:textId="1944EBBC" w:rsidR="0095157E" w:rsidRDefault="0095157E" w:rsidP="00C75AA3">
      <w:pPr>
        <w:pStyle w:val="BodyText1"/>
      </w:pPr>
      <w:r>
        <w:t xml:space="preserve">In this context, sources are considered to include: </w:t>
      </w:r>
    </w:p>
    <w:p w14:paraId="3A075E57" w14:textId="376F9919" w:rsidR="0095157E" w:rsidRDefault="0095157E" w:rsidP="00C75AA3">
      <w:pPr>
        <w:pStyle w:val="BodyText1"/>
        <w:numPr>
          <w:ilvl w:val="0"/>
          <w:numId w:val="69"/>
        </w:numPr>
        <w:ind w:left="426"/>
      </w:pPr>
      <w:r>
        <w:t>Tanks and associated pipework</w:t>
      </w:r>
      <w:r w:rsidR="00523221">
        <w:t>.</w:t>
      </w:r>
    </w:p>
    <w:p w14:paraId="47BAFFDB" w14:textId="25B52A35" w:rsidR="0095157E" w:rsidRDefault="0095157E" w:rsidP="00C75AA3">
      <w:pPr>
        <w:pStyle w:val="BodyText1"/>
        <w:numPr>
          <w:ilvl w:val="0"/>
          <w:numId w:val="69"/>
        </w:numPr>
        <w:ind w:left="426"/>
      </w:pPr>
      <w:r>
        <w:t xml:space="preserve">Other underground infrastructure or services containing </w:t>
      </w:r>
      <w:r w:rsidR="003357CE">
        <w:t xml:space="preserve">groundwater </w:t>
      </w:r>
      <w:r>
        <w:t>hazardous substances</w:t>
      </w:r>
      <w:r w:rsidR="00523221">
        <w:t>.</w:t>
      </w:r>
    </w:p>
    <w:p w14:paraId="6BF63CA3" w14:textId="77777777" w:rsidR="0095157E" w:rsidRDefault="0095157E" w:rsidP="00C75AA3">
      <w:pPr>
        <w:pStyle w:val="BodyText1"/>
        <w:numPr>
          <w:ilvl w:val="0"/>
          <w:numId w:val="69"/>
        </w:numPr>
        <w:ind w:left="426"/>
      </w:pPr>
      <w:r>
        <w:t>Free product non-aqueous phase liquids (NAPL).</w:t>
      </w:r>
    </w:p>
    <w:p w14:paraId="60812F60" w14:textId="77777777" w:rsidR="0095157E" w:rsidRDefault="0095157E" w:rsidP="00C75AA3">
      <w:pPr>
        <w:pStyle w:val="BodyText1"/>
        <w:numPr>
          <w:ilvl w:val="0"/>
          <w:numId w:val="69"/>
        </w:numPr>
        <w:ind w:left="426"/>
      </w:pPr>
      <w:r>
        <w:lastRenderedPageBreak/>
        <w:t xml:space="preserve">Soil containing leachable concentrations that could result in groundwater pollution. </w:t>
      </w:r>
    </w:p>
    <w:p w14:paraId="7A386D7C" w14:textId="2A2CA7E5" w:rsidR="0095157E" w:rsidRDefault="0095157E" w:rsidP="00B51B88">
      <w:pPr>
        <w:ind w:left="66"/>
      </w:pPr>
      <w:r>
        <w:t>You can take into account t</w:t>
      </w:r>
      <w:r w:rsidRPr="00B7322A">
        <w:t>he likely mobility of NAPL sources</w:t>
      </w:r>
      <w:r w:rsidR="00B51B88">
        <w:t xml:space="preserve">. </w:t>
      </w:r>
    </w:p>
    <w:p w14:paraId="0E3587E7" w14:textId="77777777" w:rsidR="00B51B88" w:rsidRDefault="00B51B88" w:rsidP="00B51B88">
      <w:pPr>
        <w:ind w:left="66"/>
        <w:rPr>
          <w:lang w:eastAsia="en-GB"/>
        </w:rPr>
      </w:pPr>
    </w:p>
    <w:p w14:paraId="150530F2" w14:textId="6848F72A" w:rsidR="00B51B88" w:rsidRDefault="00B51B88" w:rsidP="00B51B88">
      <w:pPr>
        <w:pStyle w:val="Heading3"/>
        <w:rPr>
          <w:rFonts w:eastAsia="Times New Roman"/>
          <w:lang w:eastAsia="en-GB"/>
        </w:rPr>
      </w:pPr>
      <w:bookmarkStart w:id="17" w:name="_Toc193716132"/>
      <w:r>
        <w:rPr>
          <w:rFonts w:eastAsia="Times New Roman"/>
          <w:lang w:eastAsia="en-GB"/>
        </w:rPr>
        <w:t>5.1.2 Inputs from current and new activities</w:t>
      </w:r>
      <w:bookmarkEnd w:id="17"/>
    </w:p>
    <w:p w14:paraId="1722C314" w14:textId="77777777" w:rsidR="0018305B" w:rsidRPr="007015A2" w:rsidRDefault="0018305B" w:rsidP="0018305B">
      <w:pPr>
        <w:pStyle w:val="BodyText1"/>
      </w:pPr>
      <w:r w:rsidRPr="007015A2">
        <w:t>If measures to achieve the objective would increase the risks to human health or the quality of the environment as a whole.   </w:t>
      </w:r>
    </w:p>
    <w:p w14:paraId="2BA29B5A" w14:textId="77777777" w:rsidR="0018305B" w:rsidRPr="007015A2" w:rsidRDefault="0018305B" w:rsidP="0018305B">
      <w:pPr>
        <w:pStyle w:val="BodyText1"/>
      </w:pPr>
      <w:r w:rsidRPr="007015A2">
        <w:t>New activities must apply B</w:t>
      </w:r>
      <w:r>
        <w:t>est Available Techniques</w:t>
      </w:r>
      <w:r w:rsidRPr="007015A2">
        <w:rPr>
          <w:vertAlign w:val="superscript"/>
        </w:rPr>
        <w:t xml:space="preserve"> </w:t>
      </w:r>
      <w:r w:rsidRPr="007015A2">
        <w:t xml:space="preserve">and comply with </w:t>
      </w:r>
      <w:r>
        <w:t>SEPA</w:t>
      </w:r>
      <w:r w:rsidRPr="007015A2">
        <w:t xml:space="preserve"> guidance.   </w:t>
      </w:r>
    </w:p>
    <w:p w14:paraId="3956699A" w14:textId="15DBE782" w:rsidR="004017DC" w:rsidRDefault="0018305B" w:rsidP="00523221">
      <w:pPr>
        <w:pStyle w:val="BodyText1"/>
        <w:rPr>
          <w:lang w:eastAsia="en-GB"/>
        </w:rPr>
      </w:pPr>
      <w:r w:rsidRPr="007015A2">
        <w:t xml:space="preserve">Existing activities must apply BAT and comply with </w:t>
      </w:r>
      <w:r>
        <w:t>SEPA</w:t>
      </w:r>
      <w:r w:rsidRPr="007015A2">
        <w:t xml:space="preserve"> guidance as far as practicable, provided any additional measures will not increase the risks to human health or the quality of the environment as a whole.  </w:t>
      </w:r>
    </w:p>
    <w:p w14:paraId="2AEB2DC9" w14:textId="7109DFE0" w:rsidR="004017DC" w:rsidRDefault="00EB067A" w:rsidP="004017DC">
      <w:pPr>
        <w:pStyle w:val="Heading2"/>
        <w:rPr>
          <w:rFonts w:eastAsia="Times New Roman"/>
        </w:rPr>
      </w:pPr>
      <w:bookmarkStart w:id="18" w:name="_Toc193716133"/>
      <w:r>
        <w:rPr>
          <w:rFonts w:eastAsia="Times New Roman"/>
        </w:rPr>
        <w:t>5.2</w:t>
      </w:r>
      <w:r>
        <w:rPr>
          <w:rFonts w:eastAsia="Times New Roman"/>
        </w:rPr>
        <w:tab/>
      </w:r>
      <w:r w:rsidR="004017DC">
        <w:rPr>
          <w:rFonts w:eastAsia="Times New Roman"/>
        </w:rPr>
        <w:t>Scenarios whe</w:t>
      </w:r>
      <w:r w:rsidR="0039652C">
        <w:rPr>
          <w:rFonts w:eastAsia="Times New Roman"/>
        </w:rPr>
        <w:t xml:space="preserve">re SEPA will </w:t>
      </w:r>
      <w:r w:rsidR="00DF5DE2">
        <w:rPr>
          <w:rFonts w:eastAsia="Times New Roman"/>
        </w:rPr>
        <w:t xml:space="preserve">consider exemption from meeting </w:t>
      </w:r>
      <w:r w:rsidR="003B1894">
        <w:rPr>
          <w:rFonts w:eastAsia="Times New Roman"/>
        </w:rPr>
        <w:t>o</w:t>
      </w:r>
      <w:r w:rsidR="004017DC">
        <w:rPr>
          <w:rFonts w:eastAsia="Times New Roman"/>
        </w:rPr>
        <w:t>bjective 2</w:t>
      </w:r>
      <w:r w:rsidR="00E435DE">
        <w:rPr>
          <w:rFonts w:eastAsia="Times New Roman"/>
        </w:rPr>
        <w:t xml:space="preserve"> to</w:t>
      </w:r>
      <w:r w:rsidR="004017DC">
        <w:rPr>
          <w:rFonts w:eastAsia="Times New Roman"/>
        </w:rPr>
        <w:t xml:space="preserve"> </w:t>
      </w:r>
      <w:r w:rsidR="003B1894">
        <w:rPr>
          <w:rFonts w:eastAsia="Times New Roman"/>
        </w:rPr>
        <w:t>l</w:t>
      </w:r>
      <w:r w:rsidR="004017DC">
        <w:rPr>
          <w:rFonts w:eastAsia="Times New Roman"/>
        </w:rPr>
        <w:t>imit input of non-hazardous substances</w:t>
      </w:r>
      <w:bookmarkEnd w:id="18"/>
    </w:p>
    <w:p w14:paraId="6953A3C1" w14:textId="318DBF66" w:rsidR="00CF105F" w:rsidRDefault="007C6DFC" w:rsidP="00523221">
      <w:pPr>
        <w:pStyle w:val="BodyText1"/>
      </w:pPr>
      <w:r>
        <w:t xml:space="preserve">As stated in </w:t>
      </w:r>
      <w:r w:rsidR="000579A6">
        <w:t>Section</w:t>
      </w:r>
      <w:r>
        <w:t xml:space="preserve"> 3, the </w:t>
      </w:r>
      <w:r w:rsidR="00CF105F">
        <w:t>objective 2, 3 and 4</w:t>
      </w:r>
      <w:r>
        <w:t xml:space="preserve"> may also be applied to </w:t>
      </w:r>
      <w:r w:rsidR="00530882">
        <w:t xml:space="preserve">groundwater </w:t>
      </w:r>
      <w:r>
        <w:t>hazardous substances with respect to historical land contamination where the contaminants have already entered groundwater</w:t>
      </w:r>
      <w:r w:rsidR="00CF105F">
        <w:t xml:space="preserve">. </w:t>
      </w:r>
      <w:r>
        <w:t xml:space="preserve"> </w:t>
      </w:r>
      <w:r w:rsidR="00CF105F">
        <w:t>T</w:t>
      </w:r>
      <w:r>
        <w:t>hey do not apply to new or ongoing inputs, which should comply with the Environmental Standard for inputs into groundwater of hazardous substances.</w:t>
      </w:r>
    </w:p>
    <w:p w14:paraId="4AD3F7B8" w14:textId="62C0065F" w:rsidR="00D94C69" w:rsidRDefault="00E435DE" w:rsidP="00523221">
      <w:pPr>
        <w:pStyle w:val="BodyText1"/>
      </w:pPr>
      <w:r>
        <w:t xml:space="preserve">Set out below are the factors you can take into account when you are requesting that the regulator applies </w:t>
      </w:r>
      <w:r w:rsidR="00C864E4">
        <w:t>an</w:t>
      </w:r>
      <w:r>
        <w:t xml:space="preserve"> exemption.</w:t>
      </w:r>
    </w:p>
    <w:p w14:paraId="2E1CC96C" w14:textId="283AAAA8" w:rsidR="00E435DE" w:rsidRDefault="00E435DE" w:rsidP="00E435DE">
      <w:pPr>
        <w:pStyle w:val="Heading3"/>
        <w:rPr>
          <w:rFonts w:eastAsia="Times New Roman"/>
          <w:lang w:eastAsia="en-GB"/>
        </w:rPr>
      </w:pPr>
      <w:bookmarkStart w:id="19" w:name="_Toc193716134"/>
      <w:r>
        <w:rPr>
          <w:rFonts w:eastAsia="Times New Roman"/>
          <w:lang w:eastAsia="en-GB"/>
        </w:rPr>
        <w:t>5.</w:t>
      </w:r>
      <w:r w:rsidR="00C864E4">
        <w:rPr>
          <w:rFonts w:eastAsia="Times New Roman"/>
          <w:lang w:eastAsia="en-GB"/>
        </w:rPr>
        <w:t>2</w:t>
      </w:r>
      <w:r>
        <w:rPr>
          <w:rFonts w:eastAsia="Times New Roman"/>
          <w:lang w:eastAsia="en-GB"/>
        </w:rPr>
        <w:t>.1 Inputs from historical land contamination</w:t>
      </w:r>
      <w:bookmarkEnd w:id="19"/>
    </w:p>
    <w:p w14:paraId="2167EE9B" w14:textId="77777777" w:rsidR="00E435DE" w:rsidRDefault="00E435DE" w:rsidP="00E435DE">
      <w:pPr>
        <w:pStyle w:val="BodyText1"/>
      </w:pPr>
      <w:r>
        <w:t>I</w:t>
      </w:r>
      <w:r w:rsidRPr="00AE518D">
        <w:t>f measures to achieve the objective are disproportionately costly or would increase the risks to human health or the quality of the environment as a whole.   </w:t>
      </w:r>
    </w:p>
    <w:p w14:paraId="541D8980" w14:textId="09609D40" w:rsidR="00AC2F41" w:rsidRPr="00AE518D" w:rsidRDefault="00AC2F41" w:rsidP="00E435DE">
      <w:pPr>
        <w:pStyle w:val="BodyText1"/>
      </w:pPr>
      <w:r>
        <w:t xml:space="preserve">Source management to break the pollutant linkage is not normally considered to be disproportionately costly. Any proposals to undertake less action than this must be supported by a detailed cost-benefit assessment.  </w:t>
      </w:r>
    </w:p>
    <w:p w14:paraId="5C56B312" w14:textId="6D8EE014" w:rsidR="00E435DE" w:rsidRDefault="00E435DE" w:rsidP="00E435DE">
      <w:pPr>
        <w:pStyle w:val="Heading3"/>
        <w:rPr>
          <w:rFonts w:eastAsia="Times New Roman"/>
          <w:lang w:eastAsia="en-GB"/>
        </w:rPr>
      </w:pPr>
      <w:bookmarkStart w:id="20" w:name="_Toc193716135"/>
      <w:r>
        <w:rPr>
          <w:rFonts w:eastAsia="Times New Roman"/>
          <w:lang w:eastAsia="en-GB"/>
        </w:rPr>
        <w:lastRenderedPageBreak/>
        <w:t>5.</w:t>
      </w:r>
      <w:r w:rsidR="00C864E4">
        <w:rPr>
          <w:rFonts w:eastAsia="Times New Roman"/>
          <w:lang w:eastAsia="en-GB"/>
        </w:rPr>
        <w:t>2</w:t>
      </w:r>
      <w:r>
        <w:rPr>
          <w:rFonts w:eastAsia="Times New Roman"/>
          <w:lang w:eastAsia="en-GB"/>
        </w:rPr>
        <w:t>.2 Inputs from current and new activities</w:t>
      </w:r>
      <w:bookmarkEnd w:id="20"/>
    </w:p>
    <w:p w14:paraId="0520A8F6" w14:textId="77777777" w:rsidR="00E435DE" w:rsidRPr="007015A2" w:rsidRDefault="00E435DE" w:rsidP="00E435DE">
      <w:pPr>
        <w:pStyle w:val="BodyText1"/>
      </w:pPr>
      <w:r w:rsidRPr="007015A2">
        <w:t>If measures to achieve the objective would increase the risks to human health or the quality of the environment as a whole.   </w:t>
      </w:r>
    </w:p>
    <w:p w14:paraId="00BBA471" w14:textId="77777777" w:rsidR="00AC2F41" w:rsidRPr="007015A2" w:rsidRDefault="00AC2F41" w:rsidP="00AC2F41">
      <w:pPr>
        <w:pStyle w:val="BodyText1"/>
      </w:pPr>
      <w:r w:rsidRPr="007015A2">
        <w:t>New activities must apply B</w:t>
      </w:r>
      <w:r>
        <w:t>est Available Techniques</w:t>
      </w:r>
      <w:r w:rsidRPr="007015A2">
        <w:rPr>
          <w:vertAlign w:val="superscript"/>
        </w:rPr>
        <w:t xml:space="preserve"> </w:t>
      </w:r>
      <w:r w:rsidRPr="007015A2">
        <w:t xml:space="preserve">and comply with </w:t>
      </w:r>
      <w:r>
        <w:t>SEPA</w:t>
      </w:r>
      <w:r w:rsidRPr="007015A2">
        <w:t xml:space="preserve"> guidance.   </w:t>
      </w:r>
    </w:p>
    <w:p w14:paraId="39A03B06" w14:textId="77777777" w:rsidR="00AC2F41" w:rsidRDefault="00AC2F41" w:rsidP="00AC2F41">
      <w:pPr>
        <w:pStyle w:val="BodyText1"/>
      </w:pPr>
      <w:r>
        <w:t>Exemptions may be acceptable for activities where it can be justified that it is reasonable for the source zone to exceed 1 ha, such as landfills or cemeteries.</w:t>
      </w:r>
    </w:p>
    <w:p w14:paraId="631933C9" w14:textId="530522F5" w:rsidR="00E435DE" w:rsidRDefault="00AC2F41" w:rsidP="00AC2F41">
      <w:r>
        <w:t xml:space="preserve">Existing activities must apply BAT and comply with SEPA guidance as far as practicable, provided any additional measures </w:t>
      </w:r>
      <w:r w:rsidRPr="005C2A60">
        <w:t>will not increase the risks to human health or the quality of the environment as a whole</w:t>
      </w:r>
      <w:r>
        <w:t>.</w:t>
      </w:r>
    </w:p>
    <w:p w14:paraId="74EFDA7E" w14:textId="77777777" w:rsidR="00FE47C6" w:rsidRDefault="00FE47C6" w:rsidP="00BE6794">
      <w:pPr>
        <w:ind w:right="11"/>
      </w:pPr>
    </w:p>
    <w:p w14:paraId="4ECC9D3B" w14:textId="60228F73" w:rsidR="00FE47C6" w:rsidRDefault="00EB067A" w:rsidP="00FE47C6">
      <w:pPr>
        <w:pStyle w:val="Heading2"/>
        <w:rPr>
          <w:rFonts w:eastAsia="Times New Roman"/>
        </w:rPr>
      </w:pPr>
      <w:bookmarkStart w:id="21" w:name="_Toc193716136"/>
      <w:r>
        <w:rPr>
          <w:rFonts w:eastAsia="Times New Roman"/>
        </w:rPr>
        <w:t>5.3</w:t>
      </w:r>
      <w:r>
        <w:rPr>
          <w:rFonts w:eastAsia="Times New Roman"/>
        </w:rPr>
        <w:tab/>
      </w:r>
      <w:r w:rsidR="00FE47C6">
        <w:rPr>
          <w:rFonts w:eastAsia="Times New Roman"/>
        </w:rPr>
        <w:t xml:space="preserve">Scenarios </w:t>
      </w:r>
      <w:r w:rsidR="003B1894">
        <w:rPr>
          <w:rFonts w:eastAsia="Times New Roman"/>
        </w:rPr>
        <w:t>where SEPA may consider exemption from meeting o</w:t>
      </w:r>
      <w:r w:rsidR="00FE47C6">
        <w:rPr>
          <w:rFonts w:eastAsia="Times New Roman"/>
        </w:rPr>
        <w:t>bjective 3</w:t>
      </w:r>
      <w:r w:rsidR="00B74251">
        <w:rPr>
          <w:rFonts w:eastAsia="Times New Roman"/>
        </w:rPr>
        <w:t xml:space="preserve"> to</w:t>
      </w:r>
      <w:r w:rsidR="00FE47C6">
        <w:rPr>
          <w:rFonts w:eastAsia="Times New Roman"/>
        </w:rPr>
        <w:t xml:space="preserve"> prevent deter</w:t>
      </w:r>
      <w:r w:rsidR="00A62F9F">
        <w:rPr>
          <w:rFonts w:eastAsia="Times New Roman"/>
        </w:rPr>
        <w:t>ioration in status</w:t>
      </w:r>
      <w:bookmarkEnd w:id="21"/>
    </w:p>
    <w:p w14:paraId="081D0FA8" w14:textId="7B24038F" w:rsidR="005224E9" w:rsidRDefault="008824FF" w:rsidP="00C75AA3">
      <w:pPr>
        <w:pStyle w:val="BodyText1"/>
      </w:pPr>
      <w:r>
        <w:t>You are not permitted to breach this objective</w:t>
      </w:r>
      <w:r w:rsidR="005224E9">
        <w:t xml:space="preserve">. </w:t>
      </w:r>
      <w:r w:rsidR="00FD00B1">
        <w:t xml:space="preserve">You must ensure that you </w:t>
      </w:r>
      <w:r w:rsidR="005224E9">
        <w:t xml:space="preserve">avoid a breach of the groundwater status standard by controlling inputs and/or by remedying the impact on groundwater and/or groundwater-dependent receptors.  </w:t>
      </w:r>
    </w:p>
    <w:p w14:paraId="2312A263" w14:textId="309ED862" w:rsidR="005224E9" w:rsidRDefault="005224E9" w:rsidP="00C75AA3">
      <w:pPr>
        <w:pStyle w:val="BodyText1"/>
        <w:rPr>
          <w:highlight w:val="yellow"/>
        </w:rPr>
      </w:pPr>
      <w:r>
        <w:t xml:space="preserve">This should include undertaking remedial measures where a plume is expanding or there is an upward trend in concentration such that groundwater body is likely to be at poor status in future.  </w:t>
      </w:r>
    </w:p>
    <w:p w14:paraId="1AC19225" w14:textId="28E61030" w:rsidR="00B77BB0" w:rsidRDefault="00EB067A">
      <w:pPr>
        <w:pStyle w:val="Heading2"/>
        <w:rPr>
          <w:rFonts w:eastAsia="Times New Roman"/>
        </w:rPr>
      </w:pPr>
      <w:bookmarkStart w:id="22" w:name="_Toc193716137"/>
      <w:r>
        <w:rPr>
          <w:rFonts w:eastAsia="Times New Roman"/>
        </w:rPr>
        <w:t>5.4</w:t>
      </w:r>
      <w:r>
        <w:rPr>
          <w:rFonts w:eastAsia="Times New Roman"/>
        </w:rPr>
        <w:tab/>
      </w:r>
      <w:r w:rsidR="005224E9">
        <w:rPr>
          <w:rFonts w:eastAsia="Times New Roman"/>
        </w:rPr>
        <w:t>Scenarios for whe</w:t>
      </w:r>
      <w:r w:rsidR="00B77BB0">
        <w:rPr>
          <w:rFonts w:eastAsia="Times New Roman"/>
        </w:rPr>
        <w:t>re SEPA may consider exemption from meeting</w:t>
      </w:r>
      <w:r w:rsidR="005224E9">
        <w:rPr>
          <w:rFonts w:eastAsia="Times New Roman"/>
        </w:rPr>
        <w:t xml:space="preserve"> </w:t>
      </w:r>
      <w:r w:rsidR="00B77BB0">
        <w:rPr>
          <w:rFonts w:eastAsia="Times New Roman"/>
        </w:rPr>
        <w:t>o</w:t>
      </w:r>
      <w:r w:rsidR="005224E9">
        <w:rPr>
          <w:rFonts w:eastAsia="Times New Roman"/>
        </w:rPr>
        <w:t xml:space="preserve">bjective </w:t>
      </w:r>
      <w:r w:rsidR="003C47B2">
        <w:rPr>
          <w:rFonts w:eastAsia="Times New Roman"/>
        </w:rPr>
        <w:t>4</w:t>
      </w:r>
      <w:r w:rsidR="00B74251">
        <w:rPr>
          <w:rFonts w:eastAsia="Times New Roman"/>
        </w:rPr>
        <w:t xml:space="preserve"> to</w:t>
      </w:r>
      <w:r w:rsidR="005224E9">
        <w:rPr>
          <w:rFonts w:eastAsia="Times New Roman"/>
        </w:rPr>
        <w:t xml:space="preserve"> </w:t>
      </w:r>
      <w:r w:rsidR="007F4107">
        <w:rPr>
          <w:rFonts w:eastAsia="Times New Roman"/>
        </w:rPr>
        <w:t>return groundwater bodies to good status</w:t>
      </w:r>
      <w:bookmarkEnd w:id="22"/>
      <w:r w:rsidR="005224E9">
        <w:rPr>
          <w:rFonts w:eastAsia="Times New Roman"/>
        </w:rPr>
        <w:t xml:space="preserve"> </w:t>
      </w:r>
    </w:p>
    <w:p w14:paraId="4269D668" w14:textId="1879D534" w:rsidR="00C864E4" w:rsidRDefault="00D94C69" w:rsidP="00157C28">
      <w:pPr>
        <w:pStyle w:val="BodyText1"/>
      </w:pPr>
      <w:r>
        <w:t xml:space="preserve">Set out below are the factors you can take into account when you are requesting that the regulator applies </w:t>
      </w:r>
      <w:r w:rsidR="00C864E4">
        <w:t>an</w:t>
      </w:r>
      <w:r>
        <w:t xml:space="preserve"> exemption.</w:t>
      </w:r>
    </w:p>
    <w:p w14:paraId="5375E273" w14:textId="3F806B37" w:rsidR="00C864E4" w:rsidRDefault="00C864E4" w:rsidP="00C864E4">
      <w:pPr>
        <w:pStyle w:val="Heading3"/>
        <w:rPr>
          <w:rFonts w:eastAsia="Times New Roman"/>
          <w:lang w:eastAsia="en-GB"/>
        </w:rPr>
      </w:pPr>
      <w:bookmarkStart w:id="23" w:name="_Toc193716138"/>
      <w:r>
        <w:rPr>
          <w:rFonts w:eastAsia="Times New Roman"/>
          <w:lang w:eastAsia="en-GB"/>
        </w:rPr>
        <w:t>5.4.1 Inputs from historical land contamination</w:t>
      </w:r>
      <w:bookmarkEnd w:id="23"/>
    </w:p>
    <w:p w14:paraId="7F55DE02" w14:textId="77777777" w:rsidR="00C864E4" w:rsidRPr="00C34F38" w:rsidRDefault="00C864E4" w:rsidP="00C75AA3">
      <w:pPr>
        <w:pStyle w:val="BodyText1"/>
      </w:pPr>
      <w:r w:rsidRPr="00C34F38">
        <w:t xml:space="preserve">If measures to achieve the objective would be infeasible or disproportionately expensive.  </w:t>
      </w:r>
    </w:p>
    <w:p w14:paraId="1C32ED3D" w14:textId="77777777" w:rsidR="00C864E4" w:rsidRPr="00C34F38" w:rsidRDefault="00C864E4" w:rsidP="00C75AA3">
      <w:pPr>
        <w:pStyle w:val="BodyText1"/>
      </w:pPr>
      <w:r w:rsidRPr="00C34F38">
        <w:t xml:space="preserve">Action beyond that listed below is considered to meet this criteria and does not need to be undertaken.  </w:t>
      </w:r>
    </w:p>
    <w:p w14:paraId="68C3F009" w14:textId="77777777" w:rsidR="00C864E4" w:rsidRPr="00C34F38" w:rsidRDefault="00C864E4" w:rsidP="00C864E4">
      <w:pPr>
        <w:pStyle w:val="BodyText1"/>
        <w:numPr>
          <w:ilvl w:val="0"/>
          <w:numId w:val="70"/>
        </w:numPr>
      </w:pPr>
      <w:r w:rsidRPr="00C34F38">
        <w:lastRenderedPageBreak/>
        <w:t xml:space="preserve">Where the contamination has impacted on an abstraction for human consumption or caused a surface ecosystem to be at poor status, then action must be taken to remedy the impact on the receptor. </w:t>
      </w:r>
    </w:p>
    <w:p w14:paraId="3FDC6FEC" w14:textId="77777777" w:rsidR="00C864E4" w:rsidRPr="00C34F38" w:rsidRDefault="00C864E4" w:rsidP="00C864E4">
      <w:pPr>
        <w:pStyle w:val="BodyText1"/>
        <w:numPr>
          <w:ilvl w:val="0"/>
          <w:numId w:val="70"/>
        </w:numPr>
      </w:pPr>
      <w:r w:rsidRPr="00C34F38">
        <w:t xml:space="preserve">Where the long-term groundwater resource is at poor status then action must be undertaken to prevent further expansion of the plume or an upward trend in concentration at the source.  </w:t>
      </w:r>
    </w:p>
    <w:p w14:paraId="06BE84BC" w14:textId="77777777" w:rsidR="00C864E4" w:rsidRPr="00C34F38" w:rsidRDefault="00C864E4" w:rsidP="00C864E4">
      <w:pPr>
        <w:pStyle w:val="BodyText1"/>
        <w:numPr>
          <w:ilvl w:val="0"/>
          <w:numId w:val="70"/>
        </w:numPr>
      </w:pPr>
      <w:r w:rsidRPr="00C34F38">
        <w:t xml:space="preserve">Action should also be undertaken to achieve good status in the groundwater resource in future. </w:t>
      </w:r>
    </w:p>
    <w:p w14:paraId="1229C36E" w14:textId="55F6C529" w:rsidR="00C864E4" w:rsidRDefault="00C864E4" w:rsidP="00C864E4">
      <w:r w:rsidRPr="00C34F38">
        <w:t>Any proposals to undertake less action than that specified above must be supported by a detailed cost-benefit assessment.</w:t>
      </w:r>
    </w:p>
    <w:p w14:paraId="057C8EFC" w14:textId="77777777" w:rsidR="00C864E4" w:rsidRDefault="00C864E4" w:rsidP="00C864E4"/>
    <w:p w14:paraId="6A5CA84F" w14:textId="0D382F6B" w:rsidR="00C864E4" w:rsidRDefault="00C864E4" w:rsidP="00C864E4">
      <w:pPr>
        <w:pStyle w:val="Heading3"/>
        <w:rPr>
          <w:rFonts w:eastAsia="Times New Roman"/>
          <w:lang w:eastAsia="en-GB"/>
        </w:rPr>
      </w:pPr>
      <w:bookmarkStart w:id="24" w:name="_Toc193716139"/>
      <w:r>
        <w:rPr>
          <w:rFonts w:eastAsia="Times New Roman"/>
          <w:lang w:eastAsia="en-GB"/>
        </w:rPr>
        <w:t>5.</w:t>
      </w:r>
      <w:r w:rsidR="00F4788A">
        <w:rPr>
          <w:rFonts w:eastAsia="Times New Roman"/>
          <w:lang w:eastAsia="en-GB"/>
        </w:rPr>
        <w:t>4</w:t>
      </w:r>
      <w:r>
        <w:rPr>
          <w:rFonts w:eastAsia="Times New Roman"/>
          <w:lang w:eastAsia="en-GB"/>
        </w:rPr>
        <w:t>.2 Inputs from current and new activities</w:t>
      </w:r>
      <w:bookmarkEnd w:id="24"/>
    </w:p>
    <w:p w14:paraId="3E2D1FCF" w14:textId="424FF1EE" w:rsidR="003C47B2" w:rsidRDefault="00C864E4" w:rsidP="00157C28">
      <w:pPr>
        <w:pStyle w:val="BodyText1"/>
      </w:pPr>
      <w:r w:rsidRPr="00C34F38">
        <w:t>Activities will be authorised unless they will prevent a groundwater body already at poor status from being restored.</w:t>
      </w:r>
    </w:p>
    <w:p w14:paraId="6FE1D535" w14:textId="108E85C4" w:rsidR="003C47B2" w:rsidRDefault="00EB067A" w:rsidP="003C47B2">
      <w:pPr>
        <w:pStyle w:val="Heading2"/>
        <w:rPr>
          <w:rFonts w:eastAsia="Times New Roman"/>
        </w:rPr>
      </w:pPr>
      <w:bookmarkStart w:id="25" w:name="_Toc193716140"/>
      <w:r>
        <w:rPr>
          <w:rFonts w:eastAsia="Times New Roman"/>
        </w:rPr>
        <w:t>5.5</w:t>
      </w:r>
      <w:r>
        <w:rPr>
          <w:rFonts w:eastAsia="Times New Roman"/>
        </w:rPr>
        <w:tab/>
      </w:r>
      <w:r w:rsidR="003C47B2">
        <w:rPr>
          <w:rFonts w:eastAsia="Times New Roman"/>
        </w:rPr>
        <w:t xml:space="preserve">Scenarios for </w:t>
      </w:r>
      <w:r w:rsidR="00722DCF">
        <w:rPr>
          <w:rFonts w:eastAsia="Times New Roman"/>
        </w:rPr>
        <w:t>where SEPA may consider exemption from meeting o</w:t>
      </w:r>
      <w:r w:rsidR="003C47B2">
        <w:rPr>
          <w:rFonts w:eastAsia="Times New Roman"/>
        </w:rPr>
        <w:t>bjective 5</w:t>
      </w:r>
      <w:r w:rsidR="00B74251">
        <w:rPr>
          <w:rFonts w:eastAsia="Times New Roman"/>
        </w:rPr>
        <w:t xml:space="preserve"> to</w:t>
      </w:r>
      <w:r w:rsidR="003C47B2">
        <w:rPr>
          <w:rFonts w:eastAsia="Times New Roman"/>
        </w:rPr>
        <w:t xml:space="preserve"> prevent direct discharges</w:t>
      </w:r>
      <w:bookmarkEnd w:id="25"/>
      <w:r w:rsidR="003C47B2">
        <w:rPr>
          <w:rFonts w:eastAsia="Times New Roman"/>
        </w:rPr>
        <w:t xml:space="preserve"> </w:t>
      </w:r>
    </w:p>
    <w:p w14:paraId="59A619BF" w14:textId="03987A95" w:rsidR="00F26BE3" w:rsidRDefault="00F26BE3" w:rsidP="00157C28">
      <w:pPr>
        <w:pStyle w:val="BodyText1"/>
      </w:pPr>
      <w:r>
        <w:t>Set out below are the factors you can take into account when you are requesting that the regulator applies an exemption.</w:t>
      </w:r>
    </w:p>
    <w:p w14:paraId="5436A4DA" w14:textId="55F11BCA" w:rsidR="00F26BE3" w:rsidRDefault="00F26BE3" w:rsidP="00F26BE3">
      <w:pPr>
        <w:pStyle w:val="Heading3"/>
        <w:rPr>
          <w:rFonts w:eastAsia="Times New Roman"/>
          <w:lang w:eastAsia="en-GB"/>
        </w:rPr>
      </w:pPr>
      <w:bookmarkStart w:id="26" w:name="_Toc193716141"/>
      <w:r>
        <w:rPr>
          <w:rFonts w:eastAsia="Times New Roman"/>
          <w:lang w:eastAsia="en-GB"/>
        </w:rPr>
        <w:t>5.5.1 Inputs from historical land contamination</w:t>
      </w:r>
      <w:bookmarkEnd w:id="26"/>
    </w:p>
    <w:p w14:paraId="3F4C5949" w14:textId="41759E2A" w:rsidR="00F26BE3" w:rsidRDefault="00F26BE3" w:rsidP="00157C28">
      <w:pPr>
        <w:pStyle w:val="BodyText1"/>
      </w:pPr>
      <w:r>
        <w:t xml:space="preserve">Not applicable as in situ historical land contamination sources are considered to be inputs but not discharges (see Annex 1.4).  </w:t>
      </w:r>
    </w:p>
    <w:p w14:paraId="6F0A1624" w14:textId="681015AC" w:rsidR="00F26BE3" w:rsidRDefault="00F26BE3" w:rsidP="00F26BE3">
      <w:pPr>
        <w:pStyle w:val="Heading3"/>
        <w:rPr>
          <w:rFonts w:eastAsia="Times New Roman"/>
          <w:lang w:eastAsia="en-GB"/>
        </w:rPr>
      </w:pPr>
      <w:bookmarkStart w:id="27" w:name="_Toc193716142"/>
      <w:r>
        <w:rPr>
          <w:rFonts w:eastAsia="Times New Roman"/>
          <w:lang w:eastAsia="en-GB"/>
        </w:rPr>
        <w:t>5.5.2 Inputs from current and new activities</w:t>
      </w:r>
      <w:bookmarkEnd w:id="27"/>
    </w:p>
    <w:p w14:paraId="5306E8B3" w14:textId="77777777" w:rsidR="00F26BE3" w:rsidRDefault="00F26BE3" w:rsidP="00157C28">
      <w:pPr>
        <w:pStyle w:val="BodyText1"/>
      </w:pPr>
      <w:r>
        <w:t xml:space="preserve">As detailed in Regulation 13(j) of The Water Environment (River Basin Management Planning: Further Provision) (Scotland) Regulations 2013. </w:t>
      </w:r>
    </w:p>
    <w:p w14:paraId="05B63B1B" w14:textId="08922E53" w:rsidR="00F26BE3" w:rsidRPr="00157C28" w:rsidRDefault="00F26BE3" w:rsidP="00157C28">
      <w:pPr>
        <w:pStyle w:val="BodyText1"/>
      </w:pPr>
      <w:r>
        <w:t>Activities involving direct discharges will be authorised only where they</w:t>
      </w:r>
      <w:r w:rsidR="00B75D9A">
        <w:t xml:space="preserve"> otherwise</w:t>
      </w:r>
      <w:r>
        <w:t xml:space="preserve"> comply with </w:t>
      </w:r>
      <w:r w:rsidR="00B57DC6">
        <w:t>EASR</w:t>
      </w:r>
      <w:r>
        <w:t xml:space="preserve">. </w:t>
      </w:r>
    </w:p>
    <w:p w14:paraId="70FDE8B7" w14:textId="7134F081" w:rsidR="00FB0090" w:rsidRDefault="00FB0090" w:rsidP="00FB0090">
      <w:pPr>
        <w:pStyle w:val="Heading1"/>
        <w:rPr>
          <w:rFonts w:eastAsia="Times New Roman"/>
        </w:rPr>
      </w:pPr>
      <w:bookmarkStart w:id="28" w:name="_Toc193716143"/>
      <w:r>
        <w:rPr>
          <w:rFonts w:eastAsia="Times New Roman"/>
        </w:rPr>
        <w:lastRenderedPageBreak/>
        <w:t>Annex 1 Background to the Groundwater Standards</w:t>
      </w:r>
      <w:bookmarkEnd w:id="28"/>
    </w:p>
    <w:p w14:paraId="6DA3BF8D" w14:textId="0CD218CD" w:rsidR="00FB0090" w:rsidRDefault="00EB067A" w:rsidP="00FB0090">
      <w:pPr>
        <w:pStyle w:val="Heading2"/>
        <w:rPr>
          <w:rFonts w:eastAsia="Times New Roman"/>
        </w:rPr>
      </w:pPr>
      <w:bookmarkStart w:id="29" w:name="_Toc193716144"/>
      <w:r>
        <w:rPr>
          <w:rFonts w:eastAsia="Times New Roman"/>
        </w:rPr>
        <w:t>A1.1</w:t>
      </w:r>
      <w:r>
        <w:rPr>
          <w:rFonts w:eastAsia="Times New Roman"/>
        </w:rPr>
        <w:tab/>
      </w:r>
      <w:r w:rsidR="00FB0090">
        <w:rPr>
          <w:rFonts w:eastAsia="Times New Roman"/>
        </w:rPr>
        <w:t>What is groundwater?</w:t>
      </w:r>
      <w:bookmarkEnd w:id="29"/>
    </w:p>
    <w:p w14:paraId="5CF1040F" w14:textId="0948C11B" w:rsidR="006551C5" w:rsidRDefault="00821651" w:rsidP="00C75AA3">
      <w:pPr>
        <w:pStyle w:val="BodyText1"/>
      </w:pPr>
      <w:r>
        <w:t>Groundwater is defined by legislation</w:t>
      </w:r>
      <w:r>
        <w:rPr>
          <w:rStyle w:val="FootnoteReference"/>
        </w:rPr>
        <w:footnoteReference w:id="6"/>
      </w:r>
      <w:r>
        <w:t xml:space="preserve"> as ‘water which is below the surface of the ground in the saturation zone and in direct contact with the ground or subsoil’. This definition has no size limit or depth limit so even small volumes of water in the subsurface or at depth are considered as</w:t>
      </w:r>
      <w:r w:rsidR="00D83AD7">
        <w:t xml:space="preserve"> </w:t>
      </w:r>
      <w:r>
        <w:t>groundwater if the ground or subsoil</w:t>
      </w:r>
      <w:r>
        <w:rPr>
          <w:vertAlign w:val="superscript"/>
        </w:rPr>
        <w:footnoteReference w:id="7"/>
      </w:r>
      <w:r>
        <w:t xml:space="preserve"> are saturated. Groundwater is present in all parts of Scotland and to considerable depth.  </w:t>
      </w:r>
    </w:p>
    <w:p w14:paraId="7E6034AA" w14:textId="3D198903" w:rsidR="00821651" w:rsidRDefault="00821651" w:rsidP="00C75AA3">
      <w:pPr>
        <w:pStyle w:val="BodyText1"/>
      </w:pPr>
      <w:r>
        <w:t xml:space="preserve">Legally controlled activities taking place in groundwater within the landward limits of coastal waters (up to 3 miles from limit of the highest tide) are subject to control under </w:t>
      </w:r>
      <w:r w:rsidR="001035E3">
        <w:t>EASR</w:t>
      </w:r>
      <w:r>
        <w:t xml:space="preserve"> or equivalent legislation.  T</w:t>
      </w:r>
      <w:r w:rsidRPr="00387710">
        <w:t xml:space="preserve">he sea will be a major discharge zone for most coastal groundwaters and this can be taken into account when assessing </w:t>
      </w:r>
      <w:r>
        <w:t>plume geometry and size</w:t>
      </w:r>
      <w:r w:rsidRPr="00387710">
        <w:t xml:space="preserve">. </w:t>
      </w:r>
    </w:p>
    <w:p w14:paraId="3330C4E2" w14:textId="01F311E4" w:rsidR="00FB0090" w:rsidRDefault="00821651" w:rsidP="00C75AA3">
      <w:pPr>
        <w:pStyle w:val="BodyText1"/>
      </w:pPr>
      <w:r>
        <w:t>Groundwater at significant depth and under coastal and transitional waters is typically saline, naturally unsuitable for potable use, and its flow is not usually significant for associated surface water or wetland ecosystems. However, i</w:t>
      </w:r>
      <w:r w:rsidRPr="00387710">
        <w:t xml:space="preserve">n some limited circumstances groundwater at great depth </w:t>
      </w:r>
      <w:r>
        <w:t xml:space="preserve">and/ </w:t>
      </w:r>
      <w:r w:rsidRPr="00387710">
        <w:t>or under the sea may be potable and have resource value</w:t>
      </w:r>
      <w:r>
        <w:t xml:space="preserve"> if</w:t>
      </w:r>
      <w:r w:rsidRPr="00387710">
        <w:t xml:space="preserve"> these waters have an annual average level of natural electrical conductivity </w:t>
      </w:r>
      <w:r>
        <w:t>less</w:t>
      </w:r>
      <w:r w:rsidRPr="00387710">
        <w:t xml:space="preserve"> than </w:t>
      </w:r>
      <w:r>
        <w:t>the</w:t>
      </w:r>
      <w:r w:rsidRPr="00387710">
        <w:t xml:space="preserve"> Scottish drinking water standard for conductivity.</w:t>
      </w:r>
      <w:r>
        <w:t xml:space="preserve"> In such cases or where groundwater at depth or beneath the sea is likely to influence surface waters or wetland ecosystems, either</w:t>
      </w:r>
      <w:r w:rsidRPr="00387710">
        <w:t xml:space="preserve"> </w:t>
      </w:r>
      <w:r>
        <w:t>E</w:t>
      </w:r>
      <w:r w:rsidRPr="00387710">
        <w:t xml:space="preserve">nvironmental </w:t>
      </w:r>
      <w:r>
        <w:t>S</w:t>
      </w:r>
      <w:r w:rsidRPr="00387710">
        <w:t xml:space="preserve">tandards for the input into groundwater of hazardous substances </w:t>
      </w:r>
      <w:r>
        <w:t xml:space="preserve">or Threshold Values for non-hazardous substances </w:t>
      </w:r>
      <w:r w:rsidRPr="00387710">
        <w:t>should be applied</w:t>
      </w:r>
      <w:r>
        <w:t xml:space="preserve">. </w:t>
      </w:r>
      <w:r w:rsidRPr="00387710">
        <w:t xml:space="preserve"> </w:t>
      </w:r>
    </w:p>
    <w:p w14:paraId="298E509B" w14:textId="7C28F41A" w:rsidR="00821651" w:rsidRDefault="00EB067A" w:rsidP="00821651">
      <w:pPr>
        <w:pStyle w:val="Heading2"/>
        <w:rPr>
          <w:rFonts w:eastAsia="Times New Roman"/>
        </w:rPr>
      </w:pPr>
      <w:bookmarkStart w:id="30" w:name="_Toc193716145"/>
      <w:r>
        <w:rPr>
          <w:rFonts w:eastAsia="Times New Roman"/>
        </w:rPr>
        <w:t>A1.2</w:t>
      </w:r>
      <w:r>
        <w:rPr>
          <w:rFonts w:eastAsia="Times New Roman"/>
        </w:rPr>
        <w:tab/>
      </w:r>
      <w:r w:rsidR="00821651">
        <w:rPr>
          <w:rFonts w:eastAsia="Times New Roman"/>
        </w:rPr>
        <w:t>What is groundwater resource potential?</w:t>
      </w:r>
      <w:bookmarkEnd w:id="30"/>
    </w:p>
    <w:p w14:paraId="31E0194D" w14:textId="02D9B23B" w:rsidR="00DF1450" w:rsidRDefault="00567AC7" w:rsidP="00C75AA3">
      <w:pPr>
        <w:pStyle w:val="BodyText1"/>
      </w:pPr>
      <w:r>
        <w:t>F</w:t>
      </w:r>
      <w:r w:rsidR="001B3A37">
        <w:t>uture groundwater resource potential includes groundwater within all aquifers capable of supplying 10 m</w:t>
      </w:r>
      <w:r w:rsidR="001B3A37">
        <w:rPr>
          <w:vertAlign w:val="superscript"/>
        </w:rPr>
        <w:t>3</w:t>
      </w:r>
      <w:r w:rsidR="001B3A37">
        <w:t xml:space="preserve">/day or 50 people (on a continuous basis), that are less than 400 m below ground level, and located inland of the mean high water springs tidal limit. This is in line with the </w:t>
      </w:r>
      <w:r w:rsidR="001B3A37">
        <w:lastRenderedPageBreak/>
        <w:t>UK TAG criteria for defining groundwater bodies</w:t>
      </w:r>
      <w:r w:rsidR="001B3A37">
        <w:rPr>
          <w:sz w:val="20"/>
          <w:vertAlign w:val="superscript"/>
        </w:rPr>
        <w:footnoteReference w:id="8"/>
      </w:r>
      <w:r w:rsidR="001B3A37">
        <w:t xml:space="preserve">. </w:t>
      </w:r>
      <w:r w:rsidR="00A86D01">
        <w:t>A</w:t>
      </w:r>
      <w:r w:rsidR="001B3A37">
        <w:t xml:space="preserve">quifers that are not currently used for potable supply may still have future groundwater resource potential.  </w:t>
      </w:r>
    </w:p>
    <w:p w14:paraId="252A265B" w14:textId="66E42B2E" w:rsidR="001B3A37" w:rsidRDefault="00DF1450" w:rsidP="00C75AA3">
      <w:pPr>
        <w:pStyle w:val="BodyText1"/>
      </w:pPr>
      <w:r>
        <w:t>T</w:t>
      </w:r>
      <w:r w:rsidR="001B3A37">
        <w:t>he following groundwater ha</w:t>
      </w:r>
      <w:r>
        <w:t>s</w:t>
      </w:r>
      <w:r w:rsidR="001B3A37">
        <w:t xml:space="preserve"> future resource potential: </w:t>
      </w:r>
    </w:p>
    <w:p w14:paraId="5D0E38B0" w14:textId="77777777" w:rsidR="001B3A37" w:rsidRDefault="001B3A37" w:rsidP="00C75AA3">
      <w:pPr>
        <w:pStyle w:val="BodyText1"/>
        <w:numPr>
          <w:ilvl w:val="0"/>
          <w:numId w:val="71"/>
        </w:numPr>
      </w:pPr>
      <w:r>
        <w:t>Groundwater within all bedrock aquifers</w:t>
      </w:r>
      <w:r>
        <w:rPr>
          <w:sz w:val="20"/>
          <w:vertAlign w:val="superscript"/>
        </w:rPr>
        <w:footnoteReference w:id="9"/>
      </w:r>
      <w:r>
        <w:t xml:space="preserve"> to a depth of 400 m below ground level in mainland Scotland plus those islands mapped by SEPA as groundwater bodies</w:t>
      </w:r>
      <w:r>
        <w:rPr>
          <w:sz w:val="20"/>
          <w:vertAlign w:val="superscript"/>
        </w:rPr>
        <w:footnoteReference w:id="10"/>
      </w:r>
      <w:r>
        <w:t xml:space="preserve">.  </w:t>
      </w:r>
    </w:p>
    <w:p w14:paraId="05A1AAA8" w14:textId="77777777" w:rsidR="001B3A37" w:rsidRDefault="001B3A37" w:rsidP="00C75AA3">
      <w:pPr>
        <w:pStyle w:val="BodyText1"/>
        <w:numPr>
          <w:ilvl w:val="0"/>
          <w:numId w:val="71"/>
        </w:numPr>
      </w:pPr>
      <w:r>
        <w:t>Groundwater in sand and gravel aquifers mapped by SEPA as groundwater bodies. Selected extensive sand and gravel aquifers are mapped as groundwater bodies</w:t>
      </w:r>
      <w:r>
        <w:rPr>
          <w:sz w:val="20"/>
          <w:vertAlign w:val="superscript"/>
        </w:rPr>
        <w:footnoteReference w:id="11"/>
      </w:r>
      <w:r>
        <w:t xml:space="preserve">.  </w:t>
      </w:r>
    </w:p>
    <w:p w14:paraId="261CA608" w14:textId="77777777" w:rsidR="001B3A37" w:rsidRDefault="001B3A37" w:rsidP="00C75AA3">
      <w:pPr>
        <w:pStyle w:val="BodyText1"/>
        <w:numPr>
          <w:ilvl w:val="0"/>
          <w:numId w:val="71"/>
        </w:numPr>
      </w:pPr>
      <w:r>
        <w:t xml:space="preserve">Groundwater in superficial deposits that are not mapped as groundwater bodies unless it has been demonstrated using the methodology in Annex 4 that the groundwater does not have resource potential. </w:t>
      </w:r>
    </w:p>
    <w:p w14:paraId="341A40D2" w14:textId="77777777" w:rsidR="001B3A37" w:rsidRDefault="001B3A37" w:rsidP="00C75AA3">
      <w:pPr>
        <w:pStyle w:val="BodyText1"/>
      </w:pPr>
      <w:r>
        <w:t xml:space="preserve">Where groundwater is not classed as having future resource potential, it still requires consideration as a pathway to other receptors, such as other groundwater that does have future resource potential, surface waters, abstractions or wetlands. </w:t>
      </w:r>
    </w:p>
    <w:p w14:paraId="5C595A6D" w14:textId="0909C3FB" w:rsidR="001B3A37" w:rsidRDefault="00EB067A" w:rsidP="001B3A37">
      <w:pPr>
        <w:pStyle w:val="Heading2"/>
        <w:rPr>
          <w:rFonts w:eastAsia="Times New Roman"/>
        </w:rPr>
      </w:pPr>
      <w:bookmarkStart w:id="31" w:name="_Toc193716146"/>
      <w:r>
        <w:rPr>
          <w:rFonts w:eastAsia="Times New Roman"/>
        </w:rPr>
        <w:t>A1.3</w:t>
      </w:r>
      <w:r>
        <w:rPr>
          <w:rFonts w:eastAsia="Times New Roman"/>
        </w:rPr>
        <w:tab/>
      </w:r>
      <w:r w:rsidR="001B3A37">
        <w:rPr>
          <w:rFonts w:eastAsia="Times New Roman"/>
        </w:rPr>
        <w:t>What is a</w:t>
      </w:r>
      <w:r w:rsidR="00E15212">
        <w:rPr>
          <w:rFonts w:eastAsia="Times New Roman"/>
        </w:rPr>
        <w:t xml:space="preserve"> groundwater </w:t>
      </w:r>
      <w:r w:rsidR="001B3A37">
        <w:rPr>
          <w:rFonts w:eastAsia="Times New Roman"/>
        </w:rPr>
        <w:t>hazardous substance?</w:t>
      </w:r>
      <w:bookmarkEnd w:id="31"/>
    </w:p>
    <w:p w14:paraId="5BE8E8B1" w14:textId="77777777" w:rsidR="0026647E" w:rsidRDefault="00E15212" w:rsidP="00C75AA3">
      <w:pPr>
        <w:pStyle w:val="BodyText1"/>
      </w:pPr>
      <w:r>
        <w:t>Groundwater h</w:t>
      </w:r>
      <w:r w:rsidR="00AD6C36">
        <w:t>azardous substances are</w:t>
      </w:r>
      <w:r w:rsidR="0026647E">
        <w:t>:</w:t>
      </w:r>
    </w:p>
    <w:p w14:paraId="45D57F1C" w14:textId="5843643C" w:rsidR="0026647E" w:rsidRPr="0026647E" w:rsidRDefault="0026647E" w:rsidP="0026647E">
      <w:pPr>
        <w:pStyle w:val="BodyText1"/>
        <w:numPr>
          <w:ilvl w:val="0"/>
          <w:numId w:val="105"/>
        </w:numPr>
      </w:pPr>
      <w:r>
        <w:t>S</w:t>
      </w:r>
      <w:r w:rsidRPr="0026647E">
        <w:t>ubstances or groups of substances which are toxic, persistent and liable to bio-accumulate, and other substances or groups of substances which give rise to an equivalent level of concern, and</w:t>
      </w:r>
    </w:p>
    <w:p w14:paraId="2A7A22A6" w14:textId="59793DF6" w:rsidR="0026647E" w:rsidRPr="0026647E" w:rsidRDefault="0026647E" w:rsidP="0026647E">
      <w:pPr>
        <w:pStyle w:val="BodyText1"/>
        <w:numPr>
          <w:ilvl w:val="0"/>
          <w:numId w:val="105"/>
        </w:numPr>
      </w:pPr>
      <w:r>
        <w:t>S</w:t>
      </w:r>
      <w:r w:rsidRPr="0026647E">
        <w:t>ubstances or groups of substances which are entering, or liable to enter groundwater.</w:t>
      </w:r>
    </w:p>
    <w:p w14:paraId="0288384A" w14:textId="3C586658" w:rsidR="00AD6C36" w:rsidRDefault="00EE0FDA" w:rsidP="00C75AA3">
      <w:pPr>
        <w:pStyle w:val="BodyText1"/>
      </w:pPr>
      <w:hyperlink r:id="rId15" w:history="1">
        <w:r w:rsidRPr="00EE0FDA">
          <w:rPr>
            <w:rStyle w:val="Hyperlink"/>
          </w:rPr>
          <w:t>The Water Environment (River Basin Management Planning: Further Provision) (Scotland) Regulations 2013</w:t>
        </w:r>
      </w:hyperlink>
      <w:r w:rsidR="00AD6C36">
        <w:t xml:space="preserve"> require SEPA to publish </w:t>
      </w:r>
      <w:r w:rsidR="00AD6C36" w:rsidRPr="00655E26">
        <w:t>a list of the Groundwater Hazardous Substances</w:t>
      </w:r>
      <w:r w:rsidR="00AD6C36">
        <w:t xml:space="preserve"> that are applicable in Scotland. </w:t>
      </w:r>
      <w:r w:rsidR="00655E26">
        <w:t>These can be found in</w:t>
      </w:r>
      <w:r w:rsidR="00B66365">
        <w:t xml:space="preserve"> WAT-G-073, SEPA Guidance: </w:t>
      </w:r>
      <w:r w:rsidR="00032019">
        <w:t xml:space="preserve">List of groundwater hazardous substances and groundwater standards. </w:t>
      </w:r>
      <w:r w:rsidR="00AD6C36">
        <w:t xml:space="preserve">This list is based on the recommendations of the Joint Agency Groundwater Directive Advisory Group (JAGDAG). </w:t>
      </w:r>
    </w:p>
    <w:p w14:paraId="16CB8C4A" w14:textId="0EBFC1C8" w:rsidR="001761B5" w:rsidRDefault="00AD6C36" w:rsidP="00C75AA3">
      <w:pPr>
        <w:pStyle w:val="BodyText1"/>
      </w:pPr>
      <w:r>
        <w:t>Radioactive material and radioactive waste</w:t>
      </w:r>
      <w:r>
        <w:rPr>
          <w:sz w:val="20"/>
          <w:vertAlign w:val="superscript"/>
        </w:rPr>
        <w:footnoteReference w:id="12"/>
      </w:r>
      <w:r>
        <w:t xml:space="preserve"> are considered</w:t>
      </w:r>
      <w:r w:rsidR="00B976A2">
        <w:t xml:space="preserve"> </w:t>
      </w:r>
      <w:r w:rsidR="0023246B">
        <w:t xml:space="preserve">as groundwater </w:t>
      </w:r>
      <w:r>
        <w:t xml:space="preserve">hazardous </w:t>
      </w:r>
      <w:r w:rsidR="0023246B">
        <w:t>substances</w:t>
      </w:r>
      <w:r>
        <w:t xml:space="preserve">. </w:t>
      </w:r>
    </w:p>
    <w:p w14:paraId="51BC0CF3" w14:textId="782C362A" w:rsidR="00AD6C36" w:rsidRDefault="00AD6C36" w:rsidP="00C75AA3">
      <w:pPr>
        <w:pStyle w:val="BodyText1"/>
      </w:pPr>
      <w:r>
        <w:t xml:space="preserve">Any substances that are not designated as </w:t>
      </w:r>
      <w:r w:rsidR="00354E2B">
        <w:t xml:space="preserve">groundwater </w:t>
      </w:r>
      <w:r>
        <w:t xml:space="preserve">hazardous </w:t>
      </w:r>
      <w:r w:rsidR="00354E2B">
        <w:t xml:space="preserve">substances </w:t>
      </w:r>
      <w:r>
        <w:t xml:space="preserve">by SEPA will be considered as non-hazardous for the purposes of regulation. Non-hazardous substances also include pathogens and heat. </w:t>
      </w:r>
    </w:p>
    <w:p w14:paraId="1C7D36DC" w14:textId="23FE7E27" w:rsidR="001761B5" w:rsidRDefault="00EB067A" w:rsidP="001761B5">
      <w:pPr>
        <w:pStyle w:val="Heading2"/>
        <w:rPr>
          <w:rFonts w:eastAsia="Times New Roman"/>
        </w:rPr>
      </w:pPr>
      <w:bookmarkStart w:id="32" w:name="_Toc193716147"/>
      <w:r>
        <w:rPr>
          <w:rFonts w:eastAsia="Times New Roman"/>
        </w:rPr>
        <w:t>A1.4</w:t>
      </w:r>
      <w:r>
        <w:rPr>
          <w:rFonts w:eastAsia="Times New Roman"/>
        </w:rPr>
        <w:tab/>
      </w:r>
      <w:r w:rsidR="001761B5">
        <w:rPr>
          <w:rFonts w:eastAsia="Times New Roman"/>
        </w:rPr>
        <w:t>What is an input and a discharge?</w:t>
      </w:r>
      <w:bookmarkEnd w:id="32"/>
    </w:p>
    <w:p w14:paraId="3ED0C502" w14:textId="77777777" w:rsidR="00BF2A0F" w:rsidRDefault="00BF2A0F" w:rsidP="00C75AA3">
      <w:pPr>
        <w:pStyle w:val="BodyText1"/>
      </w:pPr>
      <w:r>
        <w:t xml:space="preserve">An input of a contaminant is a direct or indirect introduction of contaminants into groundwater as a result of human activity.  </w:t>
      </w:r>
    </w:p>
    <w:p w14:paraId="6A22A44F" w14:textId="77777777" w:rsidR="00BF2A0F" w:rsidRDefault="00BF2A0F" w:rsidP="00C75AA3">
      <w:pPr>
        <w:pStyle w:val="BodyText1"/>
      </w:pPr>
      <w:r>
        <w:t xml:space="preserve">Inputs into groundwater may be divided into three categories:  </w:t>
      </w:r>
    </w:p>
    <w:p w14:paraId="4E064895" w14:textId="77777777" w:rsidR="00BF2A0F" w:rsidRDefault="00BF2A0F" w:rsidP="00C75AA3">
      <w:pPr>
        <w:pStyle w:val="BodyText1"/>
        <w:numPr>
          <w:ilvl w:val="0"/>
          <w:numId w:val="72"/>
        </w:numPr>
      </w:pPr>
      <w:r w:rsidRPr="00C75AA3">
        <w:rPr>
          <w:b/>
        </w:rPr>
        <w:t>Active inputs</w:t>
      </w:r>
      <w:r>
        <w:t xml:space="preserve"> - those resulting from an ongoing activity, even where the activity is a series of separated events, for example, inputs arising from septic tank drainage fields, or disposal of waste sheep dip to land. </w:t>
      </w:r>
    </w:p>
    <w:p w14:paraId="621B6CD2" w14:textId="77777777" w:rsidR="00BF2A0F" w:rsidRDefault="00BF2A0F" w:rsidP="00C75AA3">
      <w:pPr>
        <w:pStyle w:val="BodyText1"/>
        <w:numPr>
          <w:ilvl w:val="0"/>
          <w:numId w:val="72"/>
        </w:numPr>
      </w:pPr>
      <w:r w:rsidRPr="00C75AA3">
        <w:rPr>
          <w:b/>
        </w:rPr>
        <w:t>Passive inputs</w:t>
      </w:r>
      <w:r>
        <w:t xml:space="preserve"> - those resulting from some previous activity that has now ceased, for example, an input from historical land contamination. </w:t>
      </w:r>
    </w:p>
    <w:p w14:paraId="59AA6D3F" w14:textId="77777777" w:rsidR="00FD1FC4" w:rsidRDefault="00BF2A0F" w:rsidP="00FD1FC4">
      <w:pPr>
        <w:pStyle w:val="BodyText1"/>
        <w:numPr>
          <w:ilvl w:val="0"/>
          <w:numId w:val="72"/>
        </w:numPr>
      </w:pPr>
      <w:r w:rsidRPr="001737C0">
        <w:rPr>
          <w:b/>
        </w:rPr>
        <w:t>Accidental inputs</w:t>
      </w:r>
      <w:r>
        <w:t xml:space="preserve"> - those arising due to an unintended activity that initially gives rise to an active input, but which eventually produces a passive input. </w:t>
      </w:r>
    </w:p>
    <w:p w14:paraId="491893F4" w14:textId="4E681001" w:rsidR="00FD1FC4" w:rsidRDefault="00FD1FC4" w:rsidP="00FD1FC4">
      <w:pPr>
        <w:pStyle w:val="BodyText1"/>
      </w:pPr>
      <w:r>
        <w:lastRenderedPageBreak/>
        <w:t>A direct discharge is an active input directly into groundwater i.e. it bypasses the unsaturated zone during at least part of the year. Direct discharges of pollutants to groundwater</w:t>
      </w:r>
      <w:r>
        <w:rPr>
          <w:sz w:val="20"/>
          <w:vertAlign w:val="superscript"/>
        </w:rPr>
        <w:footnoteReference w:id="13"/>
      </w:r>
      <w:r>
        <w:t xml:space="preserve"> are prohibited except in certain exceptional circumstances. </w:t>
      </w:r>
      <w:hyperlink w:anchor="_Next_steps_if" w:history="1">
        <w:r w:rsidRPr="00742803">
          <w:rPr>
            <w:rStyle w:val="Hyperlink"/>
          </w:rPr>
          <w:t>Section 5</w:t>
        </w:r>
      </w:hyperlink>
      <w:r>
        <w:t xml:space="preserve"> provides more details</w:t>
      </w:r>
      <w:r w:rsidDel="00742803">
        <w:t>.</w:t>
      </w:r>
      <w:r>
        <w:t xml:space="preserve">  </w:t>
      </w:r>
    </w:p>
    <w:p w14:paraId="01FD8566" w14:textId="0AECD102" w:rsidR="00BF2A0F" w:rsidRDefault="00BF2A0F" w:rsidP="00C75AA3">
      <w:pPr>
        <w:pStyle w:val="BodyText1"/>
      </w:pPr>
      <w:r>
        <w:t>The deliberate placement of materials, where leaching exceeds the standard, below the water table without an appropriately engineered barrier will be considered to be a direct discharge</w:t>
      </w:r>
      <w:r w:rsidRPr="000C199D">
        <w:t>. Engineered barrier in this context means an artificial barrier composed of low permeability material of sufficient dimensions to adequately constrain advection and diffusion of contaminants. Engineered barriers should be constructed of a suitable material (or combination of materials) that has been designed taking into account the behaviour and persistence of the contaminants and any daughter products, the hydrogeological setting, and the proximity of receptors.  In addition, it may be necessary to comply with additional</w:t>
      </w:r>
      <w:r w:rsidRPr="000C199D" w:rsidDel="00EF2DB4">
        <w:t xml:space="preserve"> </w:t>
      </w:r>
      <w:r w:rsidRPr="000C199D">
        <w:t>requirements when designing engineered barriers for certain activities e.g. landfills or radioactive substances authorisations</w:t>
      </w:r>
      <w:r w:rsidR="001E5B69">
        <w:t xml:space="preserve">. </w:t>
      </w:r>
      <w:r>
        <w:t xml:space="preserve"> </w:t>
      </w:r>
    </w:p>
    <w:p w14:paraId="1184F0FF" w14:textId="3C98FF4F" w:rsidR="00BF2A0F" w:rsidRDefault="00BF2A0F" w:rsidP="00C75AA3">
      <w:pPr>
        <w:pStyle w:val="BodyText1"/>
      </w:pPr>
      <w:r>
        <w:t xml:space="preserve">Discharge of effluents below the water table containing substances in concentrations above the relevant standard is a direct discharge and will be prohibited except in specific circumstances. </w:t>
      </w:r>
      <w:r w:rsidR="001E5B69">
        <w:t>You should not</w:t>
      </w:r>
      <w:r>
        <w:t xml:space="preserve"> crea</w:t>
      </w:r>
      <w:r w:rsidR="001E5B69">
        <w:t>te</w:t>
      </w:r>
      <w:r>
        <w:t xml:space="preserve"> an artificial discharge point, such as a soakaway, that extends below the water table even if effluent concentrations are expected to be below the relevant standard. This is because of the risk of creating a preferential pathway that might allow accidental inputs directly into groundwater in the event of a pollution incident. </w:t>
      </w:r>
    </w:p>
    <w:p w14:paraId="63E8DC92" w14:textId="387D9EAD" w:rsidR="00BF2A0F" w:rsidRDefault="00BF2A0F" w:rsidP="00C75AA3">
      <w:pPr>
        <w:pStyle w:val="BodyText1"/>
      </w:pPr>
      <w:r>
        <w:t xml:space="preserve">An indirect discharge is an active input into groundwater via the unsaturated zone. The source is located wholly within the unsaturated zone, even during seasonal fluctuations of the water table. Indirect discharges are potentially acceptable provided that the input does not result in exceedance of the relevant standards. </w:t>
      </w:r>
    </w:p>
    <w:p w14:paraId="3E0A382E" w14:textId="338B0914" w:rsidR="004610D2" w:rsidRDefault="004610D2" w:rsidP="00C75AA3">
      <w:pPr>
        <w:pStyle w:val="BodyText1"/>
      </w:pPr>
      <w:r>
        <w:lastRenderedPageBreak/>
        <w:t xml:space="preserve">Historical land contamination sources that remain in situ, including those that are in contact with or extend below the water table, are inputs but not discharges. However, if the historical land contamination source is moved during site redevelopment, this may result in a discharge.  </w:t>
      </w:r>
    </w:p>
    <w:p w14:paraId="6934FDC3" w14:textId="77E80694" w:rsidR="004610D2" w:rsidRDefault="004610D2" w:rsidP="00C75AA3">
      <w:pPr>
        <w:pStyle w:val="BodyText1"/>
      </w:pPr>
      <w:r>
        <w:t xml:space="preserve">Diffuse inputs, such as use of fertilisers in agriculture, are inputs but not point source discharges.  </w:t>
      </w:r>
    </w:p>
    <w:p w14:paraId="30F80A37" w14:textId="77777777" w:rsidR="004610D2" w:rsidRDefault="004610D2" w:rsidP="00C75AA3">
      <w:pPr>
        <w:pStyle w:val="BodyText1"/>
      </w:pPr>
      <w:r>
        <w:t xml:space="preserve">In summary, all discharges are inputs but not all inputs are discharges. </w:t>
      </w:r>
    </w:p>
    <w:p w14:paraId="6D931A3B" w14:textId="77777777" w:rsidR="003C1654" w:rsidRDefault="003C1654" w:rsidP="00300969"/>
    <w:p w14:paraId="2D2ED653" w14:textId="3BB2B734" w:rsidR="004610D2" w:rsidRDefault="00206F44" w:rsidP="004610D2">
      <w:pPr>
        <w:pStyle w:val="Heading2"/>
        <w:rPr>
          <w:rFonts w:eastAsia="Times New Roman"/>
        </w:rPr>
      </w:pPr>
      <w:bookmarkStart w:id="33" w:name="_Toc193716148"/>
      <w:r>
        <w:rPr>
          <w:rFonts w:eastAsia="Times New Roman"/>
        </w:rPr>
        <w:t>A1.5</w:t>
      </w:r>
      <w:r>
        <w:rPr>
          <w:rFonts w:eastAsia="Times New Roman"/>
        </w:rPr>
        <w:tab/>
      </w:r>
      <w:r w:rsidR="004610D2">
        <w:rPr>
          <w:rFonts w:eastAsia="Times New Roman"/>
        </w:rPr>
        <w:t>What is an assessment point and how does it differ from compliance?</w:t>
      </w:r>
      <w:bookmarkEnd w:id="33"/>
    </w:p>
    <w:p w14:paraId="14D8464C" w14:textId="4F762DDD" w:rsidR="00656CA8" w:rsidRPr="00656CA8" w:rsidRDefault="00656CA8" w:rsidP="00C75AA3">
      <w:pPr>
        <w:pStyle w:val="BodyText1"/>
      </w:pPr>
      <w:r w:rsidRPr="00656CA8">
        <w:t xml:space="preserve">An “assessment point” may be defined as ‘the point at which the standard should be met’ i.e the point used to assess if there has been or will be an impact. </w:t>
      </w:r>
    </w:p>
    <w:p w14:paraId="7C249258" w14:textId="77777777" w:rsidR="00656CA8" w:rsidRPr="00656CA8" w:rsidRDefault="00656CA8" w:rsidP="00C75AA3">
      <w:pPr>
        <w:pStyle w:val="BodyText1"/>
      </w:pPr>
      <w:r w:rsidRPr="00656CA8">
        <w:t xml:space="preserve">The assessment point may be real or theoretical; that is, it may represent a real borehole from which groundwater samples can be obtained, or a virtual point at a location where the concentration of the polluting substance may be deduced from information on the fate and transport process. It can be derived from the spatial assessment rules.  </w:t>
      </w:r>
    </w:p>
    <w:p w14:paraId="4B1BDEA1" w14:textId="587AAC51" w:rsidR="00656CA8" w:rsidRPr="00656CA8" w:rsidRDefault="00656CA8" w:rsidP="00C75AA3">
      <w:pPr>
        <w:pStyle w:val="BodyText1"/>
      </w:pPr>
      <w:r w:rsidRPr="00656CA8">
        <w:t xml:space="preserve">Assessment point(s) should be used to determine whether or not there is entry of </w:t>
      </w:r>
      <w:r w:rsidR="00B01830">
        <w:t xml:space="preserve">groundwater </w:t>
      </w:r>
      <w:r w:rsidRPr="00656CA8">
        <w:t xml:space="preserve">hazardous substances and/or groundwater pollution or impact on status (or if this is likely to occur in future). </w:t>
      </w:r>
    </w:p>
    <w:p w14:paraId="2082DE2D" w14:textId="242DA72E" w:rsidR="00656CA8" w:rsidRPr="00656CA8" w:rsidRDefault="00656CA8" w:rsidP="00C75AA3">
      <w:pPr>
        <w:pStyle w:val="BodyText1"/>
      </w:pPr>
      <w:hyperlink w:anchor="_A3.3_Tier_2" w:history="1">
        <w:r w:rsidRPr="00F85504">
          <w:rPr>
            <w:rStyle w:val="Hyperlink"/>
          </w:rPr>
          <w:t>Annex 3.3</w:t>
        </w:r>
      </w:hyperlink>
      <w:r w:rsidRPr="00656CA8">
        <w:t xml:space="preserve"> </w:t>
      </w:r>
      <w:r w:rsidR="00F85504">
        <w:t>provides</w:t>
      </w:r>
      <w:r w:rsidRPr="00656CA8">
        <w:t xml:space="preserve"> further guidance on the choice of assessment points.</w:t>
      </w:r>
    </w:p>
    <w:p w14:paraId="1C18BAC6" w14:textId="47C27DC5" w:rsidR="00656CA8" w:rsidRPr="00656CA8" w:rsidRDefault="00F85504" w:rsidP="00C75AA3">
      <w:pPr>
        <w:pStyle w:val="BodyText1"/>
      </w:pPr>
      <w:r>
        <w:t>A</w:t>
      </w:r>
      <w:r w:rsidR="00656CA8" w:rsidRPr="00656CA8">
        <w:t xml:space="preserve">ssessment of risks to groundwater may be separate from demonstration of compliance with an authorisation. Assessing whether a source poses a risk to groundwater is a separate question as to what regulatory action may be required, taking into account any relevant exemptions. </w:t>
      </w:r>
    </w:p>
    <w:p w14:paraId="444792FF" w14:textId="77777777" w:rsidR="00656CA8" w:rsidRPr="00656CA8" w:rsidRDefault="00656CA8" w:rsidP="00C75AA3">
      <w:pPr>
        <w:pStyle w:val="BodyText1"/>
      </w:pPr>
      <w:r w:rsidRPr="00656CA8">
        <w:t xml:space="preserve">A “compliance point” is defined as a physical sampling point used to demonstrate that the activity is likely to have achieved the agreed objectives and the input is acceptable. It need not be in the same location as the assessment point because: </w:t>
      </w:r>
    </w:p>
    <w:p w14:paraId="08DF1C0E" w14:textId="77777777" w:rsidR="00656CA8" w:rsidRPr="00656CA8" w:rsidRDefault="00656CA8" w:rsidP="00C75AA3">
      <w:pPr>
        <w:pStyle w:val="BodyText1"/>
        <w:numPr>
          <w:ilvl w:val="0"/>
          <w:numId w:val="73"/>
        </w:numPr>
      </w:pPr>
      <w:r w:rsidRPr="00656CA8">
        <w:lastRenderedPageBreak/>
        <w:t xml:space="preserve">It may not be practical to install monitoring points at the assessment point e.g. at the base of the unsaturated zone or due to land use or access constraints.  </w:t>
      </w:r>
    </w:p>
    <w:p w14:paraId="5BB5A4AD" w14:textId="657FD9A1" w:rsidR="00656CA8" w:rsidRPr="00656CA8" w:rsidRDefault="00656CA8" w:rsidP="00986384">
      <w:pPr>
        <w:pStyle w:val="BodyText1"/>
        <w:numPr>
          <w:ilvl w:val="0"/>
          <w:numId w:val="73"/>
        </w:numPr>
      </w:pPr>
      <w:r w:rsidRPr="00656CA8">
        <w:t xml:space="preserve">A compliance point may be required to provide an early warning to receptors e.g. by being located between the source and a water supply. </w:t>
      </w:r>
    </w:p>
    <w:p w14:paraId="23D81FB5" w14:textId="45CC6C7E" w:rsidR="00656CA8" w:rsidRDefault="00656CA8" w:rsidP="00C75AA3">
      <w:pPr>
        <w:pStyle w:val="BodyText1"/>
      </w:pPr>
      <w:r w:rsidRPr="00656CA8">
        <w:t xml:space="preserve">It is important that the compliance point is located within the plume or the potential pathway of the plume, including monitoring at an appropriate depth and in appropriate strata.  </w:t>
      </w:r>
    </w:p>
    <w:p w14:paraId="237CB84E" w14:textId="13578E4C" w:rsidR="00156905" w:rsidRDefault="00156905" w:rsidP="00C75AA3">
      <w:pPr>
        <w:pStyle w:val="BodyText1"/>
      </w:pPr>
      <w:r>
        <w:t xml:space="preserve">More than one assessment point may be required to </w:t>
      </w:r>
      <w:r w:rsidR="00DD6AFF">
        <w:t>asses</w:t>
      </w:r>
      <w:r w:rsidR="00986384">
        <w:t>s</w:t>
      </w:r>
      <w:r w:rsidR="00DD6AFF">
        <w:t xml:space="preserve"> the impact on multiple </w:t>
      </w:r>
      <w:r>
        <w:t>receptors</w:t>
      </w:r>
      <w:r w:rsidR="00DD6AFF">
        <w:t>.</w:t>
      </w:r>
      <w:r w:rsidDel="00DD6AFF">
        <w:t xml:space="preserve"> </w:t>
      </w:r>
    </w:p>
    <w:p w14:paraId="295637BB" w14:textId="7871AC20" w:rsidR="00F00865" w:rsidRDefault="00156905" w:rsidP="00C75AA3">
      <w:pPr>
        <w:pStyle w:val="BodyText1"/>
      </w:pPr>
      <w:r>
        <w:t xml:space="preserve">The compliance concentration measured at the compliance point may also differ from the concentration at the assessment point because: </w:t>
      </w:r>
    </w:p>
    <w:p w14:paraId="4FB9EFF8" w14:textId="67AACE9F" w:rsidR="00156905" w:rsidRPr="007D1CF2" w:rsidRDefault="00F00865" w:rsidP="00C75AA3">
      <w:pPr>
        <w:pStyle w:val="BodyText1"/>
        <w:numPr>
          <w:ilvl w:val="0"/>
          <w:numId w:val="74"/>
        </w:numPr>
      </w:pPr>
      <w:r>
        <w:t>I</w:t>
      </w:r>
      <w:r w:rsidR="00156905" w:rsidRPr="007D1CF2">
        <w:t>t may need to be adjusted to take account of attenuation and dilution between the assessment point and compliance point</w:t>
      </w:r>
      <w:r>
        <w:t>.</w:t>
      </w:r>
    </w:p>
    <w:p w14:paraId="2B37D43D" w14:textId="1BE60AA5" w:rsidR="00156905" w:rsidRPr="007D1CF2" w:rsidRDefault="00F00865" w:rsidP="00C75AA3">
      <w:pPr>
        <w:pStyle w:val="BodyText1"/>
        <w:numPr>
          <w:ilvl w:val="0"/>
          <w:numId w:val="74"/>
        </w:numPr>
      </w:pPr>
      <w:r>
        <w:t>T</w:t>
      </w:r>
      <w:r w:rsidR="00156905" w:rsidRPr="007D1CF2">
        <w:t>he agreed action, e.g. a remedial target, may not be to achieve the assessment criteria if an exemption has been applied</w:t>
      </w:r>
      <w:r w:rsidR="00B16998">
        <w:t>.</w:t>
      </w:r>
    </w:p>
    <w:p w14:paraId="17D5FC28" w14:textId="3936A9CB" w:rsidR="00156905" w:rsidRPr="007D1CF2" w:rsidRDefault="00B16998" w:rsidP="00C75AA3">
      <w:pPr>
        <w:pStyle w:val="BodyText1"/>
        <w:numPr>
          <w:ilvl w:val="0"/>
          <w:numId w:val="74"/>
        </w:numPr>
      </w:pPr>
      <w:r>
        <w:t>C</w:t>
      </w:r>
      <w:r w:rsidR="00156905" w:rsidRPr="007D1CF2">
        <w:t>ompliance criteria may be lowered to provide early warning of potential impacts for sensitive receptors</w:t>
      </w:r>
      <w:r>
        <w:t>.</w:t>
      </w:r>
    </w:p>
    <w:p w14:paraId="073755C3" w14:textId="430E3692" w:rsidR="00156905" w:rsidRPr="007D1CF2" w:rsidRDefault="00B16998" w:rsidP="00C75AA3">
      <w:pPr>
        <w:pStyle w:val="BodyText1"/>
        <w:numPr>
          <w:ilvl w:val="0"/>
          <w:numId w:val="74"/>
        </w:numPr>
      </w:pPr>
      <w:r>
        <w:t>C</w:t>
      </w:r>
      <w:r w:rsidR="00156905" w:rsidRPr="007D1CF2">
        <w:t>ompliance criteria may be modified to account for existing background concentrations upgradient of the site</w:t>
      </w:r>
      <w:r>
        <w:t>.</w:t>
      </w:r>
    </w:p>
    <w:p w14:paraId="70E1DB66" w14:textId="0C436ED1" w:rsidR="00156905" w:rsidRPr="007D1CF2" w:rsidRDefault="00B16998" w:rsidP="00C75AA3">
      <w:pPr>
        <w:pStyle w:val="BodyText1"/>
        <w:numPr>
          <w:ilvl w:val="0"/>
          <w:numId w:val="74"/>
        </w:numPr>
      </w:pPr>
      <w:r>
        <w:t>C</w:t>
      </w:r>
      <w:r w:rsidR="00156905" w:rsidRPr="007D1CF2">
        <w:t>ompliance criteria may use site- or sector-specific statistical metrics, such as trend assessment or use of percentile</w:t>
      </w:r>
      <w:r>
        <w:t>s.</w:t>
      </w:r>
    </w:p>
    <w:p w14:paraId="5C6516F7" w14:textId="56DD4DB4" w:rsidR="004610D2" w:rsidRDefault="00B16998" w:rsidP="00C75AA3">
      <w:pPr>
        <w:pStyle w:val="BodyText1"/>
        <w:numPr>
          <w:ilvl w:val="0"/>
          <w:numId w:val="74"/>
        </w:numPr>
      </w:pPr>
      <w:r>
        <w:t>C</w:t>
      </w:r>
      <w:r w:rsidR="00156905" w:rsidRPr="007D1CF2">
        <w:t>ompliance criteria may be set for selected indicator parameters rather than for all potential contaminants of concern.</w:t>
      </w:r>
    </w:p>
    <w:p w14:paraId="28622921" w14:textId="5B3AFAF5" w:rsidR="007D1CF2" w:rsidRDefault="00684999" w:rsidP="007D1CF2">
      <w:pPr>
        <w:pStyle w:val="Heading2"/>
        <w:rPr>
          <w:rFonts w:eastAsia="Times New Roman"/>
        </w:rPr>
      </w:pPr>
      <w:bookmarkStart w:id="34" w:name="_Toc193716149"/>
      <w:r>
        <w:rPr>
          <w:rFonts w:eastAsia="Times New Roman"/>
        </w:rPr>
        <w:lastRenderedPageBreak/>
        <w:t>A1.6</w:t>
      </w:r>
      <w:r>
        <w:rPr>
          <w:rFonts w:eastAsia="Times New Roman"/>
        </w:rPr>
        <w:tab/>
      </w:r>
      <w:r w:rsidR="007D1CF2">
        <w:rPr>
          <w:rFonts w:eastAsia="Times New Roman"/>
        </w:rPr>
        <w:t>What is the basis for the en</w:t>
      </w:r>
      <w:r w:rsidR="00400236">
        <w:rPr>
          <w:rFonts w:eastAsia="Times New Roman"/>
        </w:rPr>
        <w:t>vironmental standards for input into groundwater of hazardous substances?</w:t>
      </w:r>
      <w:bookmarkEnd w:id="34"/>
      <w:r w:rsidR="00400236">
        <w:rPr>
          <w:rFonts w:eastAsia="Times New Roman"/>
        </w:rPr>
        <w:t xml:space="preserve"> </w:t>
      </w:r>
    </w:p>
    <w:p w14:paraId="2E190600" w14:textId="7D3AFE4E" w:rsidR="00D32648" w:rsidRDefault="00D32648" w:rsidP="00C75AA3">
      <w:pPr>
        <w:pStyle w:val="BodyText1"/>
      </w:pPr>
      <w:r>
        <w:t xml:space="preserve">Entry of </w:t>
      </w:r>
      <w:r w:rsidR="003326AC">
        <w:t>groundwater h</w:t>
      </w:r>
      <w:r>
        <w:t>azardous substances into groundwater must be controlled to ensure there is no risk of deterioration. In order to achieve this</w:t>
      </w:r>
      <w:r w:rsidR="002046D5">
        <w:t xml:space="preserve"> </w:t>
      </w:r>
      <w:r>
        <w:t>the Environmental Standards for input into groundwater</w:t>
      </w:r>
      <w:r w:rsidRPr="002C468B">
        <w:t xml:space="preserve"> </w:t>
      </w:r>
      <w:r>
        <w:t>of hazardous substances</w:t>
      </w:r>
      <w:r w:rsidR="002046D5">
        <w:t xml:space="preserve"> should be used</w:t>
      </w:r>
      <w:r>
        <w:t xml:space="preserve">. </w:t>
      </w:r>
    </w:p>
    <w:p w14:paraId="637F9762" w14:textId="77777777" w:rsidR="00D32648" w:rsidRDefault="00D32648" w:rsidP="00C75AA3">
      <w:pPr>
        <w:pStyle w:val="BodyText1"/>
      </w:pPr>
      <w:r>
        <w:t>For locations more than 50 m from surface waters, the Environmental Standard for input into groundwater of hazardous substances is set at 50% of the relevant potable standard</w:t>
      </w:r>
      <w:r>
        <w:rPr>
          <w:sz w:val="20"/>
          <w:vertAlign w:val="superscript"/>
        </w:rPr>
        <w:footnoteReference w:id="14"/>
      </w:r>
      <w:r>
        <w:t xml:space="preserve"> assessed as an annual mean concentration.  This ensures that, even if there were no dilution in groundwater and irrespective of the size of the source, the Threshold Value (as referred to in A1.8) should not be breached.  </w:t>
      </w:r>
    </w:p>
    <w:p w14:paraId="30DF6C02" w14:textId="119DC8FD" w:rsidR="00D32648" w:rsidRDefault="00D32648" w:rsidP="00C75AA3">
      <w:pPr>
        <w:pStyle w:val="BodyText1"/>
      </w:pPr>
      <w:r>
        <w:t xml:space="preserve">In close proximity (&lt;50 m) to surface water features, the Environmental Standard for input of hazardous substances </w:t>
      </w:r>
      <w:r w:rsidR="3665FFA0">
        <w:t>in</w:t>
      </w:r>
      <w:r>
        <w:t xml:space="preserve">to groundwater is either 50% of the potable standard </w:t>
      </w:r>
      <w:r w:rsidRPr="002406CE">
        <w:t>OR</w:t>
      </w:r>
      <w:r>
        <w:t xml:space="preserve"> twice (2x) the relevant Environmental Standard for surface waters, whichever value is lower. The latter is based on an assumption that dilution is likely to occur within the surface water feature; the 95th percentile baseflow index for Scottish rivers is &lt;0.5. While baseflow does vary both spatially and temporally, SEPA has chosen to assume a single baseflow index value to aid consistency in decision making. </w:t>
      </w:r>
    </w:p>
    <w:p w14:paraId="41F76E59" w14:textId="12E95C85" w:rsidR="00D32648" w:rsidRDefault="00D32648" w:rsidP="00A122C2">
      <w:pPr>
        <w:pStyle w:val="BodyText1"/>
      </w:pPr>
      <w:r>
        <w:t xml:space="preserve">In </w:t>
      </w:r>
      <w:r w:rsidR="00C87E82">
        <w:t>addition</w:t>
      </w:r>
      <w:r>
        <w:t xml:space="preserve">, there is likely to be dilution on entry to groundwater in most scenarios. </w:t>
      </w:r>
      <w:r w:rsidR="00925FAF">
        <w:t>Therefore</w:t>
      </w:r>
      <w:r>
        <w:t>,</w:t>
      </w:r>
      <w:r w:rsidDel="00925FAF">
        <w:t xml:space="preserve"> </w:t>
      </w:r>
      <w:r>
        <w:t xml:space="preserve">there </w:t>
      </w:r>
      <w:r w:rsidR="00925FAF">
        <w:t xml:space="preserve">should be </w:t>
      </w:r>
      <w:r>
        <w:t xml:space="preserve">no risk of deterioration if compliance with the Environmental Standard for input into groundwater of hazardous substances is achieved. </w:t>
      </w:r>
    </w:p>
    <w:p w14:paraId="7D43C4DD" w14:textId="624CEE68" w:rsidR="00D32648" w:rsidRDefault="00684999" w:rsidP="00D32648">
      <w:pPr>
        <w:pStyle w:val="Heading2"/>
        <w:rPr>
          <w:rFonts w:eastAsia="Times New Roman"/>
        </w:rPr>
      </w:pPr>
      <w:bookmarkStart w:id="35" w:name="_Toc193716150"/>
      <w:r>
        <w:rPr>
          <w:rFonts w:eastAsia="Times New Roman"/>
        </w:rPr>
        <w:t>A1.7</w:t>
      </w:r>
      <w:r>
        <w:rPr>
          <w:rFonts w:eastAsia="Times New Roman"/>
        </w:rPr>
        <w:tab/>
      </w:r>
      <w:r w:rsidR="00D32648">
        <w:rPr>
          <w:rFonts w:eastAsia="Times New Roman"/>
        </w:rPr>
        <w:t>What is the basis for the threshold value?</w:t>
      </w:r>
      <w:bookmarkEnd w:id="35"/>
      <w:r w:rsidR="00D32648">
        <w:rPr>
          <w:rFonts w:eastAsia="Times New Roman"/>
        </w:rPr>
        <w:t xml:space="preserve"> </w:t>
      </w:r>
    </w:p>
    <w:p w14:paraId="7FC3CA4F" w14:textId="77777777" w:rsidR="00F93BB6" w:rsidRDefault="00F93BB6" w:rsidP="00C75AA3">
      <w:pPr>
        <w:pStyle w:val="BodyText1"/>
      </w:pPr>
      <w:r>
        <w:t>Threshold Values are indicative of the ability of groundwater to support human uses.</w:t>
      </w:r>
    </w:p>
    <w:p w14:paraId="00081D57" w14:textId="7C995E0C" w:rsidR="00F93BB6" w:rsidRDefault="00F93BB6" w:rsidP="00C75AA3">
      <w:pPr>
        <w:pStyle w:val="BodyText1"/>
      </w:pPr>
      <w:r>
        <w:t xml:space="preserve">Threshold Values are values set at 75% of the relevant potable standard and assessed as an annual mean concentration. This approach has been adopted to help ensure that the potable standard (assessed as a maximum concentration) is unlikely to be breached whilst allowing for a small margin of error to address minor temporal fluctuations in water quality. This approach is </w:t>
      </w:r>
      <w:r>
        <w:lastRenderedPageBreak/>
        <w:t>consistent with the approach recommended by UK TAG</w:t>
      </w:r>
      <w:r>
        <w:rPr>
          <w:sz w:val="20"/>
          <w:vertAlign w:val="superscript"/>
        </w:rPr>
        <w:footnoteReference w:id="15"/>
      </w:r>
      <w:r>
        <w:t xml:space="preserve"> for general chemical assessment during groundwater body classification.  </w:t>
      </w:r>
    </w:p>
    <w:p w14:paraId="695F8668" w14:textId="165ECD41" w:rsidR="00F93BB6" w:rsidRDefault="00F93BB6" w:rsidP="00C75AA3">
      <w:pPr>
        <w:pStyle w:val="BodyText1"/>
      </w:pPr>
      <w:r>
        <w:t>The decision on which potable value to use has been based on the hierarchy set out in Table 2 of Schedule 5 of the 202</w:t>
      </w:r>
      <w:r w:rsidR="00BA145E">
        <w:t>4</w:t>
      </w:r>
      <w:r>
        <w:t xml:space="preserve"> Directions.</w:t>
      </w:r>
    </w:p>
    <w:p w14:paraId="4FAA5F60" w14:textId="16EDED73" w:rsidR="00F93BB6" w:rsidRDefault="00F93BB6" w:rsidP="00C75AA3">
      <w:pPr>
        <w:pStyle w:val="BodyText1"/>
      </w:pPr>
      <w:r>
        <w:t xml:space="preserve">If the values derived via the hierarchy are above the effective solubility of the substance in groundwater, then the standard will be set at the value of the effective solubility. This effective solubility cap applies if the relevant potable standard is likely to result in the presence of non-aqueous phase liquids in contact with groundwater. This capping threshold may be modified on a site-specific basis if appropriate to account for the likely effective solubility based on the local conditions, particularly if a mixture of contaminants is present. </w:t>
      </w:r>
    </w:p>
    <w:p w14:paraId="29BCE0B7" w14:textId="61991446" w:rsidR="00F93BB6" w:rsidRPr="00197352" w:rsidRDefault="00F93BB6" w:rsidP="00197352">
      <w:pPr>
        <w:pStyle w:val="BodyText1"/>
      </w:pPr>
      <w:r w:rsidRPr="00197352">
        <w:t xml:space="preserve">Only where none of these values are available has a value been based on laboratory detection limits.    </w:t>
      </w:r>
    </w:p>
    <w:p w14:paraId="7366AFB3" w14:textId="64B492FB" w:rsidR="00F93BB6" w:rsidRDefault="00684999" w:rsidP="00F93BB6">
      <w:pPr>
        <w:pStyle w:val="Heading2"/>
        <w:rPr>
          <w:rFonts w:eastAsia="Times New Roman"/>
        </w:rPr>
      </w:pPr>
      <w:bookmarkStart w:id="36" w:name="_Toc193716151"/>
      <w:r>
        <w:rPr>
          <w:rFonts w:eastAsia="Times New Roman"/>
        </w:rPr>
        <w:t>A1.8</w:t>
      </w:r>
      <w:r>
        <w:rPr>
          <w:rFonts w:eastAsia="Times New Roman"/>
        </w:rPr>
        <w:tab/>
      </w:r>
      <w:r w:rsidR="00F93BB6">
        <w:rPr>
          <w:rFonts w:eastAsia="Times New Roman"/>
        </w:rPr>
        <w:t>What is the basis for the groundwater pollution standards?</w:t>
      </w:r>
      <w:bookmarkEnd w:id="36"/>
      <w:r w:rsidR="00F93BB6">
        <w:rPr>
          <w:rFonts w:eastAsia="Times New Roman"/>
        </w:rPr>
        <w:t xml:space="preserve"> </w:t>
      </w:r>
    </w:p>
    <w:p w14:paraId="0214EC46" w14:textId="643F8F5D" w:rsidR="00EA38FD" w:rsidRPr="00EA38FD" w:rsidRDefault="00EA38FD" w:rsidP="00C75AA3">
      <w:pPr>
        <w:pStyle w:val="BodyText1"/>
      </w:pPr>
      <w:r w:rsidRPr="00EA38FD">
        <w:t xml:space="preserve">Pollution in relation to the water environment means the direct or indirect introduction, as a result of human activity, of substances or heat into the water environment, or any part of it, which may give rise to any harm. </w:t>
      </w:r>
    </w:p>
    <w:p w14:paraId="0B5FBDBA" w14:textId="45505DBA" w:rsidR="00EA38FD" w:rsidRPr="00EA38FD" w:rsidRDefault="00EA38FD" w:rsidP="00C75AA3">
      <w:pPr>
        <w:pStyle w:val="BodyText1"/>
      </w:pPr>
      <w:r w:rsidRPr="00EA38FD">
        <w:t xml:space="preserve">The groundwater pollution standard considers both existing groundwater uses, by humans, surface water ecosystems or groundwater-dependent terrestrial ecosystems (GWDTE), and potential future groundwater use. The groundwater pollution standard applies to all future groundwater resource as well as groundwater supporting surface waters, GWDTEs or abstractors. </w:t>
      </w:r>
    </w:p>
    <w:p w14:paraId="206911FB" w14:textId="4144BD5B" w:rsidR="00EA38FD" w:rsidRPr="00EA38FD" w:rsidRDefault="00EA38FD" w:rsidP="00C75AA3">
      <w:pPr>
        <w:pStyle w:val="BodyText1"/>
      </w:pPr>
      <w:r w:rsidRPr="00EA38FD">
        <w:t>The groundwater pollution standard for future groundwater resources is set at &gt;1 ha of groundwater exceeding the Threshold Value assessed as an annual mean.  The 1 ha area is equivalent to the area required to support 10 m</w:t>
      </w:r>
      <w:r w:rsidRPr="00EA38FD">
        <w:rPr>
          <w:vertAlign w:val="superscript"/>
        </w:rPr>
        <w:t>3</w:t>
      </w:r>
      <w:r w:rsidRPr="00EA38FD">
        <w:t xml:space="preserve">/day of groundwater supply assuming a typical Scottish recharge rate of 1 mm/day. Whilst recharge does vary both spatially and temporally, a </w:t>
      </w:r>
      <w:r w:rsidRPr="00EA38FD">
        <w:lastRenderedPageBreak/>
        <w:t>single recharge value has been chosen to aid consistency in decision making.  The flow threshold of 10 m</w:t>
      </w:r>
      <w:r w:rsidRPr="00EA38FD">
        <w:rPr>
          <w:vertAlign w:val="superscript"/>
        </w:rPr>
        <w:t>3</w:t>
      </w:r>
      <w:r w:rsidRPr="00EA38FD">
        <w:t xml:space="preserve">/day is aligned with the determination of whether a hydrogeological unit has future resource potential (see A1.2).  </w:t>
      </w:r>
    </w:p>
    <w:p w14:paraId="0DDA122A" w14:textId="396B6C3B" w:rsidR="00EA38FD" w:rsidRPr="00EA38FD" w:rsidRDefault="00EA38FD" w:rsidP="00C75AA3">
      <w:pPr>
        <w:pStyle w:val="BodyText1"/>
      </w:pPr>
      <w:r w:rsidRPr="00EA38FD">
        <w:t xml:space="preserve">For </w:t>
      </w:r>
      <w:r w:rsidR="00E45E42">
        <w:t xml:space="preserve">groundwater </w:t>
      </w:r>
      <w:r w:rsidRPr="00EA38FD">
        <w:t xml:space="preserve">hazardous substances, the groundwater pollution standards only apply to contaminants that have already entered groundwater. New or ongoing entry above the Environmental Standards for input into groundwater of hazardous substances is not permitted without a relevant exemption (see Sections 3 and 5).  </w:t>
      </w:r>
    </w:p>
    <w:p w14:paraId="639A0FEF" w14:textId="77777777" w:rsidR="007D1CF2" w:rsidRDefault="007D1CF2" w:rsidP="00300969"/>
    <w:p w14:paraId="7D4CB873" w14:textId="139A7C3E" w:rsidR="00EA38FD" w:rsidRDefault="00684999" w:rsidP="00EA38FD">
      <w:pPr>
        <w:pStyle w:val="Heading2"/>
        <w:rPr>
          <w:rFonts w:eastAsia="Times New Roman"/>
        </w:rPr>
      </w:pPr>
      <w:bookmarkStart w:id="37" w:name="_Toc193716152"/>
      <w:r>
        <w:rPr>
          <w:rFonts w:eastAsia="Times New Roman"/>
        </w:rPr>
        <w:t>A1.9</w:t>
      </w:r>
      <w:r>
        <w:rPr>
          <w:rFonts w:eastAsia="Times New Roman"/>
        </w:rPr>
        <w:tab/>
      </w:r>
      <w:r w:rsidR="00EA38FD">
        <w:rPr>
          <w:rFonts w:eastAsia="Times New Roman"/>
        </w:rPr>
        <w:t>What is the basis for the groundwater status standards?</w:t>
      </w:r>
      <w:bookmarkEnd w:id="37"/>
      <w:r w:rsidR="00EA38FD">
        <w:rPr>
          <w:rFonts w:eastAsia="Times New Roman"/>
        </w:rPr>
        <w:t xml:space="preserve"> </w:t>
      </w:r>
    </w:p>
    <w:p w14:paraId="661A2E15" w14:textId="4BBA3121" w:rsidR="00EC7D96" w:rsidRPr="00EC7D96" w:rsidRDefault="00EC7D96" w:rsidP="00C75AA3">
      <w:pPr>
        <w:pStyle w:val="BodyText1"/>
      </w:pPr>
      <w:r w:rsidRPr="00EC7D96">
        <w:t xml:space="preserve">Status standards in relation to the water environment reflect a serious impact on nationally or regionally important receptors. The status of water bodies </w:t>
      </w:r>
      <w:r w:rsidR="00695799">
        <w:t>are</w:t>
      </w:r>
      <w:r w:rsidRPr="00EC7D96">
        <w:t xml:space="preserve"> classified in accordance with the WFD.  </w:t>
      </w:r>
    </w:p>
    <w:p w14:paraId="551B4363" w14:textId="40FB97A1" w:rsidR="00EC7D96" w:rsidRDefault="00EC7D96" w:rsidP="00C75AA3">
      <w:pPr>
        <w:pStyle w:val="BodyText1"/>
      </w:pPr>
      <w:r w:rsidRPr="00EC7D96">
        <w:t xml:space="preserve">The groundwater status standards consider both existing groundwater uses, by humans, surface water ecosystems or GWDTEs, and potential future groundwater use. </w:t>
      </w:r>
      <w:r w:rsidR="009A301E">
        <w:t>I</w:t>
      </w:r>
      <w:r w:rsidRPr="00EC7D96">
        <w:t xml:space="preserve">n this document groundwater status is used in relation to chemical status, as opposed to quantitative status. </w:t>
      </w:r>
    </w:p>
    <w:p w14:paraId="03505C04" w14:textId="7837F2C4" w:rsidR="00EC7D96" w:rsidRPr="00EC7D96" w:rsidRDefault="00EC7D96" w:rsidP="00C75AA3">
      <w:pPr>
        <w:pStyle w:val="BodyText1"/>
      </w:pPr>
      <w:r w:rsidRPr="00EC7D96">
        <w:t xml:space="preserve">The groundwater status standard in relation to surface water receptors is based on the actual or potential impact on the status of the relevant surface water body, taking into account the spatial rules used to determine surface water body status.  </w:t>
      </w:r>
    </w:p>
    <w:p w14:paraId="7C457DA1" w14:textId="4AD22849" w:rsidR="00EC7D96" w:rsidRPr="00EC7D96" w:rsidRDefault="00EC7D96" w:rsidP="00C75AA3">
      <w:pPr>
        <w:pStyle w:val="BodyText1"/>
      </w:pPr>
      <w:r w:rsidRPr="00EC7D96">
        <w:t xml:space="preserve">The groundwater status standard for GWDTEs is based on the potential impact on designated sites i.e. sites that have been designated as Natura 2000 sites or as Sites of Special Scientific Interest (SSSI). </w:t>
      </w:r>
      <w:r w:rsidR="00E079F7">
        <w:t>The</w:t>
      </w:r>
      <w:r w:rsidRPr="00EC7D96">
        <w:t xml:space="preserve"> impact or potential impact on a designated GWDTE is sufficient to also impact or potentially impact on groundwater body status. </w:t>
      </w:r>
    </w:p>
    <w:p w14:paraId="1CA3C3FB" w14:textId="045EADB2" w:rsidR="00EC7D96" w:rsidRPr="00EC7D96" w:rsidRDefault="00EC7D96" w:rsidP="00C75AA3">
      <w:pPr>
        <w:pStyle w:val="BodyText1"/>
      </w:pPr>
      <w:r w:rsidRPr="00EC7D96">
        <w:t xml:space="preserve">The groundwater status standard for existing abstractions is based on potential anthropogenic impact on abstractions supplying water for human consumption. The standard also includes assessment of whether there is an upward trend in concentrations. </w:t>
      </w:r>
    </w:p>
    <w:p w14:paraId="551A6D17" w14:textId="290ED506" w:rsidR="00EC7D96" w:rsidRPr="00EC7D96" w:rsidRDefault="00EC7D96" w:rsidP="00C75AA3">
      <w:pPr>
        <w:pStyle w:val="BodyText1"/>
      </w:pPr>
      <w:r w:rsidRPr="00EC7D96">
        <w:t xml:space="preserve">The groundwater status standard for </w:t>
      </w:r>
      <w:r w:rsidR="007524D8">
        <w:t>substances</w:t>
      </w:r>
      <w:r w:rsidR="0085791D">
        <w:t xml:space="preserve"> </w:t>
      </w:r>
      <w:r w:rsidR="007524D8">
        <w:t>hazardous to groundwater for</w:t>
      </w:r>
      <w:r w:rsidR="0085791D">
        <w:t xml:space="preserve"> </w:t>
      </w:r>
      <w:r w:rsidRPr="00EC7D96">
        <w:t xml:space="preserve">future groundwater resources is set at &gt;20 ha of groundwater exceeding the Threshold Value assessed as an annual mean. The 20 ha area is equivalent to the area required to support </w:t>
      </w:r>
      <w:r w:rsidRPr="00EC7D96">
        <w:lastRenderedPageBreak/>
        <w:t>200</w:t>
      </w:r>
      <w:r w:rsidR="00B40195">
        <w:t> </w:t>
      </w:r>
      <w:r w:rsidRPr="00EC7D96">
        <w:t>m</w:t>
      </w:r>
      <w:r w:rsidRPr="00EC7D96">
        <w:rPr>
          <w:vertAlign w:val="superscript"/>
        </w:rPr>
        <w:t>3</w:t>
      </w:r>
      <w:r w:rsidRPr="00EC7D96">
        <w:t>/day of groundwater supply assuming a typical Scottish recharge rate of 1 mm/day. The 20ha area is based on an area that is 20% of the area of the smallest potential groundwater body, which is assumed to be 1 km</w:t>
      </w:r>
      <w:r w:rsidRPr="00EC7D96">
        <w:rPr>
          <w:vertAlign w:val="superscript"/>
        </w:rPr>
        <w:t>2</w:t>
      </w:r>
      <w:r w:rsidRPr="00EC7D96">
        <w:t>. This is aligned with current guidance</w:t>
      </w:r>
      <w:r w:rsidRPr="00EC7D96">
        <w:rPr>
          <w:sz w:val="20"/>
          <w:vertAlign w:val="superscript"/>
        </w:rPr>
        <w:footnoteReference w:id="16"/>
      </w:r>
      <w:r w:rsidRPr="00EC7D96">
        <w:t xml:space="preserve">, which provides that an acceptable extent of exceedance for each substance would not exceed 20% of the total groundwater body. Whilst groundwater bodies vary in size, a single areal value for point source status assessment is used to aid consistency in decision making and to account for scenarios where a source and/or plume may straddle groundwater body boundaries. </w:t>
      </w:r>
      <w:r w:rsidR="005122DC" w:rsidRPr="00EC7D96">
        <w:t xml:space="preserve">The groundwater status standard </w:t>
      </w:r>
      <w:r w:rsidR="005122DC">
        <w:t>f</w:t>
      </w:r>
      <w:r w:rsidR="00674E6A">
        <w:t xml:space="preserve">or non-hazardous substances for the future groundwater resources is measured as an </w:t>
      </w:r>
      <w:r w:rsidR="005122DC">
        <w:t xml:space="preserve">annal </w:t>
      </w:r>
      <w:r w:rsidR="00674E6A">
        <w:t xml:space="preserve">average over the groundwater body. </w:t>
      </w:r>
      <w:r w:rsidR="00674E6A" w:rsidRPr="00EC7D96">
        <w:t xml:space="preserve"> </w:t>
      </w:r>
    </w:p>
    <w:p w14:paraId="4468A347" w14:textId="1E445EC9" w:rsidR="00EA38FD" w:rsidRDefault="00EC7D96" w:rsidP="00EE63B5">
      <w:pPr>
        <w:pStyle w:val="BodyText1"/>
      </w:pPr>
      <w:r w:rsidRPr="00EC7D96">
        <w:t xml:space="preserve">For </w:t>
      </w:r>
      <w:r w:rsidR="00E45E42">
        <w:t xml:space="preserve">groundwater </w:t>
      </w:r>
      <w:r w:rsidRPr="00EC7D96">
        <w:t xml:space="preserve">hazardous substances, the groundwater status standards only apply to contaminants that have already entered groundwater. New or ongoing entry above the Environmental Standards for input into groundwater of hazardous substances is not permitted without a relevant exemption (see Sections 3 and 5).  </w:t>
      </w:r>
    </w:p>
    <w:p w14:paraId="3D95D6F0" w14:textId="77777777" w:rsidR="00B40195" w:rsidRDefault="00B40195" w:rsidP="00B40195">
      <w:pPr>
        <w:pStyle w:val="Heading2"/>
        <w:rPr>
          <w:rFonts w:eastAsia="Times New Roman"/>
        </w:rPr>
      </w:pPr>
      <w:bookmarkStart w:id="38" w:name="_Toc193716153"/>
      <w:r>
        <w:rPr>
          <w:rFonts w:eastAsia="Times New Roman"/>
        </w:rPr>
        <w:t>A1.10</w:t>
      </w:r>
      <w:r>
        <w:rPr>
          <w:rFonts w:eastAsia="Times New Roman"/>
        </w:rPr>
        <w:tab/>
        <w:t>What is significant pollution?</w:t>
      </w:r>
      <w:bookmarkEnd w:id="38"/>
    </w:p>
    <w:p w14:paraId="38638164" w14:textId="77777777" w:rsidR="00B40195" w:rsidRPr="00C66947" w:rsidRDefault="00B40195" w:rsidP="00B40195">
      <w:pPr>
        <w:pStyle w:val="BodyText1"/>
      </w:pPr>
      <w:r w:rsidRPr="00C66947">
        <w:t>Part IIA of the Environment Protection Act 1990</w:t>
      </w:r>
      <w:r w:rsidRPr="00C66947">
        <w:rPr>
          <w:sz w:val="20"/>
          <w:vertAlign w:val="superscript"/>
        </w:rPr>
        <w:footnoteReference w:id="17"/>
      </w:r>
      <w:r w:rsidRPr="00C66947">
        <w:t xml:space="preserve"> uses the concept of significant pollution of the water environment, or significant possibility of significant pollution.  </w:t>
      </w:r>
    </w:p>
    <w:p w14:paraId="5C67A8C0" w14:textId="77777777" w:rsidR="00B40195" w:rsidRPr="00C66947" w:rsidRDefault="00B40195" w:rsidP="00B40195">
      <w:pPr>
        <w:pStyle w:val="BodyText1"/>
      </w:pPr>
      <w:r w:rsidRPr="00C66947">
        <w:t xml:space="preserve">SEPA considers the following to represent significant pollution of groundwater: </w:t>
      </w:r>
    </w:p>
    <w:p w14:paraId="0FC1BC46" w14:textId="77777777" w:rsidR="00B40195" w:rsidRPr="00C66947" w:rsidRDefault="00B40195" w:rsidP="00B40195">
      <w:pPr>
        <w:pStyle w:val="BodyText1"/>
        <w:numPr>
          <w:ilvl w:val="0"/>
          <w:numId w:val="75"/>
        </w:numPr>
      </w:pPr>
      <w:r w:rsidRPr="00C66947">
        <w:t xml:space="preserve">Breach of the groundwater pollution standard for existing abstractions, for surface waters and for GWDTEs </w:t>
      </w:r>
    </w:p>
    <w:p w14:paraId="166079D6" w14:textId="77777777" w:rsidR="00B40195" w:rsidRPr="00C66947" w:rsidRDefault="00B40195" w:rsidP="00B40195">
      <w:pPr>
        <w:pStyle w:val="BodyText1"/>
        <w:numPr>
          <w:ilvl w:val="0"/>
          <w:numId w:val="75"/>
        </w:numPr>
      </w:pPr>
      <w:r w:rsidRPr="00C66947">
        <w:t xml:space="preserve">Breach of the groundwater status standard for future groundwater resources.  </w:t>
      </w:r>
    </w:p>
    <w:p w14:paraId="339EF184" w14:textId="09211FEE" w:rsidR="00B40195" w:rsidRDefault="00B40195" w:rsidP="00EE63B5">
      <w:pPr>
        <w:pStyle w:val="BodyText1"/>
      </w:pPr>
      <w:r w:rsidRPr="00C66947">
        <w:t>What can constitute significant pollution is discussed further in</w:t>
      </w:r>
      <w:r w:rsidRPr="00B20C15">
        <w:t xml:space="preserve"> SEPA</w:t>
      </w:r>
      <w:hyperlink r:id="rId16">
        <w:r w:rsidRPr="00B20C15">
          <w:t xml:space="preserve"> </w:t>
        </w:r>
      </w:hyperlink>
      <w:r w:rsidRPr="00B20C15">
        <w:t>Guidance: Land Contamination and Impacts on the Water Environment.</w:t>
      </w:r>
      <w:r w:rsidRPr="00C66947">
        <w:t xml:space="preserve">  </w:t>
      </w:r>
    </w:p>
    <w:p w14:paraId="6BB2C92F" w14:textId="47C1D8EB" w:rsidR="00C66947" w:rsidRDefault="00C66947" w:rsidP="00C66947">
      <w:pPr>
        <w:pStyle w:val="Heading1"/>
        <w:rPr>
          <w:rFonts w:eastAsia="Times New Roman"/>
        </w:rPr>
      </w:pPr>
      <w:bookmarkStart w:id="39" w:name="_Toc193716154"/>
      <w:r>
        <w:rPr>
          <w:rFonts w:eastAsia="Times New Roman"/>
        </w:rPr>
        <w:lastRenderedPageBreak/>
        <w:t xml:space="preserve">Annex 2 </w:t>
      </w:r>
      <w:r w:rsidR="00A66F96">
        <w:rPr>
          <w:rFonts w:eastAsia="Times New Roman"/>
        </w:rPr>
        <w:t>Groundwater standard concentrations</w:t>
      </w:r>
      <w:bookmarkEnd w:id="39"/>
      <w:r w:rsidR="00A66F96">
        <w:rPr>
          <w:rFonts w:eastAsia="Times New Roman"/>
        </w:rPr>
        <w:t xml:space="preserve"> </w:t>
      </w:r>
    </w:p>
    <w:p w14:paraId="3B1D3E62" w14:textId="0873FAA6" w:rsidR="00A66F96" w:rsidRDefault="00742FE9" w:rsidP="00A66F96">
      <w:pPr>
        <w:pStyle w:val="Heading2"/>
        <w:rPr>
          <w:rFonts w:eastAsia="Times New Roman"/>
        </w:rPr>
      </w:pPr>
      <w:bookmarkStart w:id="40" w:name="_Toc193716155"/>
      <w:r>
        <w:rPr>
          <w:rFonts w:eastAsia="Times New Roman"/>
        </w:rPr>
        <w:t>A2.1</w:t>
      </w:r>
      <w:r>
        <w:rPr>
          <w:rFonts w:eastAsia="Times New Roman"/>
        </w:rPr>
        <w:tab/>
      </w:r>
      <w:r w:rsidR="00A66F96">
        <w:rPr>
          <w:rFonts w:eastAsia="Times New Roman"/>
        </w:rPr>
        <w:t>Groundwater standards for common substances</w:t>
      </w:r>
      <w:bookmarkEnd w:id="40"/>
    </w:p>
    <w:p w14:paraId="5A89C6C3" w14:textId="59981130" w:rsidR="00AF3473" w:rsidRPr="00AF3473" w:rsidRDefault="00AF3473" w:rsidP="00C75AA3">
      <w:pPr>
        <w:pStyle w:val="BodyText1"/>
      </w:pPr>
      <w:r w:rsidRPr="00AF3473">
        <w:t>Schedule 6 of the 202</w:t>
      </w:r>
      <w:r w:rsidR="00E22C42">
        <w:t>4</w:t>
      </w:r>
      <w:r w:rsidRPr="00AF3473">
        <w:t xml:space="preserve"> Directions includes a methodology for setting Environmental Standards for inputs into groundwater of hazardous substances and Threshold Values for groundwater. SEPA has applied this methodology to derive Groundwater Standards to protect Scotland’s groundwater. </w:t>
      </w:r>
    </w:p>
    <w:p w14:paraId="3CEC2380" w14:textId="3B17F685" w:rsidR="00AF3473" w:rsidRPr="00AF3473" w:rsidRDefault="00686DEF" w:rsidP="00C75AA3">
      <w:pPr>
        <w:pStyle w:val="BodyText1"/>
      </w:pPr>
      <w:r>
        <w:t>You must use the l</w:t>
      </w:r>
      <w:r w:rsidR="00AF3473" w:rsidRPr="00AF3473">
        <w:t>ist of Groundwater Standards for groundwater for common non-radioactive substances</w:t>
      </w:r>
      <w:hyperlink r:id="rId17">
        <w:r w:rsidR="00AF3473" w:rsidRPr="00AF3473">
          <w:t>.</w:t>
        </w:r>
      </w:hyperlink>
      <w:r w:rsidR="00AF3473" w:rsidRPr="00AF3473">
        <w:t xml:space="preserve">  </w:t>
      </w:r>
    </w:p>
    <w:p w14:paraId="002832E7" w14:textId="0C7DE1A9" w:rsidR="00AF3473" w:rsidRPr="00AF3473" w:rsidRDefault="00AF3473" w:rsidP="00C75AA3">
      <w:pPr>
        <w:pStyle w:val="BodyText1"/>
      </w:pPr>
      <w:r w:rsidRPr="00AF3473">
        <w:t>For radioactive substances, the Groundwater Standards are dose</w:t>
      </w:r>
      <w:r w:rsidR="00973522">
        <w:t xml:space="preserve"> </w:t>
      </w:r>
      <w:r w:rsidRPr="00AF3473">
        <w:t>based and assessed by the risk to members of the public and non-human organisms and their habitats in accordance with relevant legislation</w:t>
      </w:r>
      <w:r w:rsidR="005F1A90">
        <w:t>.</w:t>
      </w:r>
      <w:r w:rsidRPr="00AF3473">
        <w:t xml:space="preserve"> </w:t>
      </w:r>
    </w:p>
    <w:p w14:paraId="191F8226" w14:textId="1A8B3402" w:rsidR="00AF3473" w:rsidRPr="00AF3473" w:rsidRDefault="00AF3473" w:rsidP="00C75AA3">
      <w:pPr>
        <w:pStyle w:val="BodyText1"/>
      </w:pPr>
      <w:r w:rsidRPr="00AF3473">
        <w:t xml:space="preserve">For heat, no generic temperature standard has been set for groundwater. Groundwater temperature varies naturally over a range that may exceed what might be acceptable at specific receptors. Groundwater temperature is influenced by depth from surface and by the geological and hydrogeological setting. Any anthropogenic change in temperature of groundwater must not be high or low enough to cause adverse direct or indirect impacts in groundwater-dependent receptors including surface waters, wetlands or abstractions. The typical temperature range of Scottish groundwaters with resource potential is 5-25°C. </w:t>
      </w:r>
      <w:r w:rsidR="004E5A71">
        <w:t>if you are undertaking a</w:t>
      </w:r>
      <w:r w:rsidRPr="00AF3473">
        <w:t xml:space="preserve">ctivities that are likely to cause groundwater to be outwith this temperature range </w:t>
      </w:r>
      <w:r w:rsidR="004E5A71">
        <w:t>you must carry out a</w:t>
      </w:r>
      <w:r w:rsidR="004E5A71" w:rsidRPr="00AF3473">
        <w:t xml:space="preserve"> </w:t>
      </w:r>
      <w:r w:rsidRPr="00AF3473">
        <w:t xml:space="preserve">site-specific assessment. Such activities might include large-scale geothermal projects or remedial activities involving in situ thermal treatment. The level of assessment required will depend on the expected change in temperature, the duration of the activity, and the proximity of sensitive receptors.  </w:t>
      </w:r>
    </w:p>
    <w:p w14:paraId="640AE057" w14:textId="2E43146D" w:rsidR="00AF3473" w:rsidRDefault="00D565B0" w:rsidP="005512C6">
      <w:pPr>
        <w:pStyle w:val="BodyText1"/>
      </w:pPr>
      <w:r>
        <w:t>You should use t</w:t>
      </w:r>
      <w:r w:rsidR="00AF3473" w:rsidRPr="00AF3473">
        <w:t xml:space="preserve">he Scottish </w:t>
      </w:r>
      <w:hyperlink r:id="rId18" w:history="1">
        <w:r w:rsidR="00AF3473" w:rsidRPr="00AF3473">
          <w:rPr>
            <w:rStyle w:val="Hyperlink"/>
            <w:rFonts w:ascii="Arial" w:hAnsi="Arial" w:cs="Arial"/>
          </w:rPr>
          <w:t>drinking water standards</w:t>
        </w:r>
      </w:hyperlink>
      <w:r w:rsidR="00AF3473" w:rsidRPr="00AF3473">
        <w:rPr>
          <w:rStyle w:val="Hyperlink"/>
          <w:rFonts w:ascii="Arial" w:hAnsi="Arial" w:cs="Arial"/>
        </w:rPr>
        <w:t xml:space="preserve"> </w:t>
      </w:r>
      <w:r w:rsidR="00AF3473" w:rsidRPr="00AF3473">
        <w:t>when assessing risks to existing potable abstractions.</w:t>
      </w:r>
      <w:r w:rsidR="00AF3473" w:rsidRPr="00AF3473" w:rsidDel="00DC16B5">
        <w:t xml:space="preserve"> </w:t>
      </w:r>
      <w:r w:rsidR="00AF3473" w:rsidRPr="00AF3473">
        <w:t xml:space="preserve">In addition to contaminant-specific potable standards, </w:t>
      </w:r>
      <w:r w:rsidR="00DA6863">
        <w:t xml:space="preserve">you should consider </w:t>
      </w:r>
      <w:r w:rsidR="00AF3473" w:rsidRPr="00AF3473">
        <w:t xml:space="preserve">the potential cumulative effect of contaminant concentrations on colour, taste and odour in existing potable abstractions. </w:t>
      </w:r>
    </w:p>
    <w:p w14:paraId="104D50B6" w14:textId="61327367" w:rsidR="00AF3473" w:rsidRDefault="00F621DD" w:rsidP="00AF3473">
      <w:pPr>
        <w:pStyle w:val="Heading2"/>
        <w:rPr>
          <w:rFonts w:eastAsia="Times New Roman"/>
        </w:rPr>
      </w:pPr>
      <w:bookmarkStart w:id="41" w:name="_Toc193716156"/>
      <w:r>
        <w:rPr>
          <w:rFonts w:eastAsia="Times New Roman"/>
        </w:rPr>
        <w:lastRenderedPageBreak/>
        <w:t>A2.2</w:t>
      </w:r>
      <w:r>
        <w:rPr>
          <w:rFonts w:eastAsia="Times New Roman"/>
        </w:rPr>
        <w:tab/>
      </w:r>
      <w:r w:rsidR="00AF3473">
        <w:rPr>
          <w:rFonts w:eastAsia="Times New Roman"/>
        </w:rPr>
        <w:t>Methodology for deriving standards</w:t>
      </w:r>
      <w:bookmarkEnd w:id="41"/>
    </w:p>
    <w:p w14:paraId="48D61C96" w14:textId="3553D479" w:rsidR="00F31C73" w:rsidRDefault="00777DE8" w:rsidP="00EB482E">
      <w:pPr>
        <w:pStyle w:val="BodyText1"/>
      </w:pPr>
      <w:r>
        <w:t xml:space="preserve">For contaminants where no standards are presented </w:t>
      </w:r>
      <w:r w:rsidRPr="00D21AD2">
        <w:t xml:space="preserve">in </w:t>
      </w:r>
      <w:r w:rsidR="005512C6" w:rsidRPr="00D21AD2">
        <w:t xml:space="preserve">The </w:t>
      </w:r>
      <w:r w:rsidR="00D21AD2">
        <w:t>L</w:t>
      </w:r>
      <w:r w:rsidR="005512C6" w:rsidRPr="00D21AD2">
        <w:t xml:space="preserve">ist of </w:t>
      </w:r>
      <w:r w:rsidR="00D21AD2">
        <w:t>G</w:t>
      </w:r>
      <w:r w:rsidR="005512C6" w:rsidRPr="00D21AD2">
        <w:t xml:space="preserve">roundwater </w:t>
      </w:r>
      <w:r w:rsidR="00D21AD2">
        <w:t>S</w:t>
      </w:r>
      <w:r w:rsidR="005512C6" w:rsidRPr="00D21AD2">
        <w:t>tandards</w:t>
      </w:r>
      <w:r w:rsidRPr="00D21AD2">
        <w:t>,</w:t>
      </w:r>
      <w:r>
        <w:t xml:space="preserve"> </w:t>
      </w:r>
      <w:r w:rsidR="0062796D">
        <w:t xml:space="preserve">you can derive a </w:t>
      </w:r>
      <w:r>
        <w:t>standard</w:t>
      </w:r>
      <w:r w:rsidDel="0062796D">
        <w:t xml:space="preserve"> </w:t>
      </w:r>
      <w:r>
        <w:t xml:space="preserve">using the methodology set out in Schedule </w:t>
      </w:r>
      <w:r w:rsidRPr="00AC74BD">
        <w:t>6 of the 202</w:t>
      </w:r>
      <w:r w:rsidR="001E775D">
        <w:t>4</w:t>
      </w:r>
      <w:r w:rsidRPr="00AC74BD">
        <w:t xml:space="preserve"> Directions.</w:t>
      </w:r>
      <w:r>
        <w:t xml:space="preserve"> </w:t>
      </w:r>
    </w:p>
    <w:p w14:paraId="28E22552" w14:textId="066D66CC" w:rsidR="00777DE8" w:rsidRDefault="00777DE8" w:rsidP="00EB482E">
      <w:pPr>
        <w:pStyle w:val="BodyText1"/>
      </w:pPr>
      <w:r>
        <w:t xml:space="preserve">When assessing risks to surface waters posed by metals in groundwater, </w:t>
      </w:r>
      <w:r w:rsidR="009B2132">
        <w:t xml:space="preserve">you can consider </w:t>
      </w:r>
      <w:r>
        <w:t xml:space="preserve">bioavailability as set out in WAT-SG-53 provided the relevant supporting surface water quality data is available for the receiving waterbody. </w:t>
      </w:r>
    </w:p>
    <w:p w14:paraId="5A8A8296" w14:textId="50D0AD37" w:rsidR="00777DE8" w:rsidRDefault="00F621DD" w:rsidP="00777DE8">
      <w:pPr>
        <w:pStyle w:val="Heading2"/>
        <w:rPr>
          <w:rFonts w:eastAsia="Times New Roman"/>
        </w:rPr>
      </w:pPr>
      <w:bookmarkStart w:id="42" w:name="_Toc193716157"/>
      <w:r>
        <w:rPr>
          <w:rFonts w:eastAsia="Times New Roman"/>
        </w:rPr>
        <w:t>A2.3</w:t>
      </w:r>
      <w:r>
        <w:tab/>
      </w:r>
      <w:r w:rsidR="00777DE8">
        <w:rPr>
          <w:rFonts w:eastAsia="Times New Roman"/>
        </w:rPr>
        <w:t>Modifying standard</w:t>
      </w:r>
      <w:r w:rsidR="00DA746C">
        <w:rPr>
          <w:rFonts w:eastAsia="Times New Roman"/>
        </w:rPr>
        <w:t>s</w:t>
      </w:r>
      <w:r w:rsidR="00777DE8">
        <w:rPr>
          <w:rFonts w:eastAsia="Times New Roman"/>
        </w:rPr>
        <w:t xml:space="preserve"> to account for naturally elevated </w:t>
      </w:r>
      <w:r w:rsidR="0427BC82" w:rsidRPr="3BBB6280">
        <w:rPr>
          <w:rFonts w:eastAsia="Times New Roman"/>
        </w:rPr>
        <w:t>background</w:t>
      </w:r>
      <w:r w:rsidR="00DA746C">
        <w:rPr>
          <w:rFonts w:eastAsia="Times New Roman"/>
        </w:rPr>
        <w:t xml:space="preserve"> concentrations</w:t>
      </w:r>
      <w:bookmarkEnd w:id="42"/>
    </w:p>
    <w:p w14:paraId="27E1EE4C" w14:textId="316E4450" w:rsidR="00844112" w:rsidRPr="00844112" w:rsidRDefault="00844112" w:rsidP="00C75AA3">
      <w:pPr>
        <w:pStyle w:val="BodyText1"/>
      </w:pPr>
      <w:r w:rsidRPr="00844112">
        <w:t xml:space="preserve">Where appropriate site-specific assessment shows that natural background concentrations exceed the relevant Groundwater Standard, </w:t>
      </w:r>
      <w:r w:rsidR="009B2132">
        <w:t xml:space="preserve">you can use </w:t>
      </w:r>
      <w:r w:rsidRPr="00844112">
        <w:t xml:space="preserve">a site-specific value equal to the annual average natural background concentration.  </w:t>
      </w:r>
    </w:p>
    <w:p w14:paraId="5959B51D" w14:textId="62A50CD8" w:rsidR="00844112" w:rsidRDefault="005417D8" w:rsidP="00C75AA3">
      <w:pPr>
        <w:pStyle w:val="BodyText1"/>
      </w:pPr>
      <w:r>
        <w:t>You must not</w:t>
      </w:r>
      <w:r w:rsidR="00844112" w:rsidRPr="00844112">
        <w:t xml:space="preserve"> modify the standards due to background concentrations that are elevated due to anthropogenic influences. A3.3.2 </w:t>
      </w:r>
      <w:r>
        <w:t xml:space="preserve">provides </w:t>
      </w:r>
      <w:r w:rsidR="00844112" w:rsidRPr="00844112">
        <w:t xml:space="preserve">further </w:t>
      </w:r>
      <w:r>
        <w:t>information</w:t>
      </w:r>
      <w:r w:rsidRPr="00844112">
        <w:t xml:space="preserve"> </w:t>
      </w:r>
      <w:r w:rsidR="00844112" w:rsidRPr="00844112">
        <w:t xml:space="preserve">on </w:t>
      </w:r>
      <w:r>
        <w:t xml:space="preserve">how to </w:t>
      </w:r>
      <w:r w:rsidR="00844112" w:rsidRPr="00844112">
        <w:t xml:space="preserve">consider background concentrations </w:t>
      </w:r>
      <w:r>
        <w:t xml:space="preserve">when </w:t>
      </w:r>
      <w:r w:rsidR="00D33276">
        <w:t>undertaking</w:t>
      </w:r>
      <w:r w:rsidRPr="00844112">
        <w:t xml:space="preserve"> </w:t>
      </w:r>
      <w:r w:rsidR="00844112" w:rsidRPr="00844112">
        <w:t xml:space="preserve">site-specific risk assessments. </w:t>
      </w:r>
    </w:p>
    <w:p w14:paraId="61861265" w14:textId="78855BF2" w:rsidR="00844112" w:rsidRDefault="00F621DD" w:rsidP="00844112">
      <w:pPr>
        <w:pStyle w:val="Heading2"/>
        <w:rPr>
          <w:rFonts w:eastAsia="Times New Roman"/>
        </w:rPr>
      </w:pPr>
      <w:bookmarkStart w:id="43" w:name="_Toc193716158"/>
      <w:r>
        <w:rPr>
          <w:rFonts w:eastAsia="Times New Roman"/>
        </w:rPr>
        <w:t>A2.4</w:t>
      </w:r>
      <w:r>
        <w:rPr>
          <w:rFonts w:eastAsia="Times New Roman"/>
        </w:rPr>
        <w:tab/>
      </w:r>
      <w:r w:rsidR="00844112">
        <w:rPr>
          <w:rFonts w:eastAsia="Times New Roman"/>
        </w:rPr>
        <w:t>Managing limits of quantification</w:t>
      </w:r>
      <w:bookmarkEnd w:id="43"/>
    </w:p>
    <w:p w14:paraId="07218D2A" w14:textId="06756E82" w:rsidR="00FD2F07" w:rsidRPr="00FD2F07" w:rsidRDefault="00895CE2" w:rsidP="00C75AA3">
      <w:pPr>
        <w:pStyle w:val="BodyText1"/>
      </w:pPr>
      <w:r>
        <w:t>It</w:t>
      </w:r>
      <w:r w:rsidR="00FD2F07" w:rsidRPr="00FD2F07" w:rsidDel="00895CE2">
        <w:t xml:space="preserve"> </w:t>
      </w:r>
      <w:r>
        <w:t>can</w:t>
      </w:r>
      <w:r w:rsidRPr="00FD2F07">
        <w:t xml:space="preserve"> </w:t>
      </w:r>
      <w:r w:rsidR="00FD2F07" w:rsidRPr="00FD2F07">
        <w:t>be difficult to achieve limits of detection and quantification that are below the relevant Groundwater Standards</w:t>
      </w:r>
      <w:r>
        <w:t>,</w:t>
      </w:r>
      <w:r w:rsidRPr="00895CE2">
        <w:t xml:space="preserve"> </w:t>
      </w:r>
      <w:r w:rsidRPr="00FD2F07">
        <w:t>particularly for contaminated water samples</w:t>
      </w:r>
      <w:r w:rsidR="00FD2F07" w:rsidRPr="00FD2F07">
        <w:t xml:space="preserve">. </w:t>
      </w:r>
    </w:p>
    <w:p w14:paraId="518AB79E" w14:textId="7598B9A0" w:rsidR="00FD2F07" w:rsidRPr="00FD2F07" w:rsidRDefault="00FD2F07" w:rsidP="00C75AA3">
      <w:pPr>
        <w:pStyle w:val="BodyText1"/>
      </w:pPr>
      <w:r w:rsidRPr="00FD2F07">
        <w:t>When undertaking numerical modelling or calculations during quantitative risk assessment</w:t>
      </w:r>
      <w:r w:rsidR="00ED11FD">
        <w:t xml:space="preserve"> you must use </w:t>
      </w:r>
      <w:r w:rsidRPr="00FD2F07">
        <w:t>the standard</w:t>
      </w:r>
      <w:r w:rsidRPr="00FD2F07" w:rsidDel="00ED11FD">
        <w:t xml:space="preserve"> </w:t>
      </w:r>
      <w:r w:rsidR="0036786F">
        <w:t>without</w:t>
      </w:r>
      <w:r w:rsidRPr="00FD2F07" w:rsidDel="0036786F">
        <w:t xml:space="preserve"> </w:t>
      </w:r>
      <w:r w:rsidR="0036786F">
        <w:t>mo</w:t>
      </w:r>
      <w:r w:rsidR="002B251F">
        <w:t>difying it because of</w:t>
      </w:r>
      <w:r w:rsidR="0036786F" w:rsidRPr="00FD2F07">
        <w:t xml:space="preserve"> issues relating to limits of detection or quantification. </w:t>
      </w:r>
    </w:p>
    <w:p w14:paraId="23E062D0" w14:textId="103F6568" w:rsidR="00FD2F07" w:rsidRPr="00FD2F07" w:rsidRDefault="00FD2F07" w:rsidP="00C75AA3">
      <w:pPr>
        <w:pStyle w:val="BodyText1"/>
      </w:pPr>
      <w:r w:rsidRPr="00FD2F07">
        <w:t xml:space="preserve">When undertaking site investigation or water monitoring, for example during site characterisation or for compliance assessment, </w:t>
      </w:r>
      <w:r w:rsidR="00F841B3">
        <w:t xml:space="preserve">you should try to </w:t>
      </w:r>
      <w:r w:rsidRPr="00FD2F07">
        <w:t xml:space="preserve">achieve limits of detection and quantification that are below the relevant standard. If this is not feasible, </w:t>
      </w:r>
      <w:r w:rsidR="00F841B3">
        <w:t>you should</w:t>
      </w:r>
      <w:r w:rsidRPr="00FD2F07">
        <w:t xml:space="preserve">:  </w:t>
      </w:r>
    </w:p>
    <w:p w14:paraId="723B7C8F" w14:textId="6B220C8A" w:rsidR="00FD2F07" w:rsidRPr="00FD2F07" w:rsidRDefault="00FD2F07" w:rsidP="00C75AA3">
      <w:pPr>
        <w:pStyle w:val="BodyText1"/>
        <w:numPr>
          <w:ilvl w:val="0"/>
          <w:numId w:val="76"/>
        </w:numPr>
      </w:pPr>
      <w:r w:rsidRPr="00FD2F07">
        <w:t>Use the minimum achievable limit of detection as an initial screening value</w:t>
      </w:r>
      <w:r w:rsidR="002B251F">
        <w:t>.</w:t>
      </w:r>
    </w:p>
    <w:p w14:paraId="6F266039" w14:textId="1447E819" w:rsidR="00FD2F07" w:rsidRPr="00FD2F07" w:rsidRDefault="00FD2F07" w:rsidP="00C75AA3">
      <w:pPr>
        <w:pStyle w:val="BodyText1"/>
        <w:numPr>
          <w:ilvl w:val="0"/>
          <w:numId w:val="76"/>
        </w:numPr>
      </w:pPr>
      <w:r w:rsidRPr="00FD2F07">
        <w:t>Adopt a ‘lines of evidence’ approach to determine the potential significance of the consequent uncertainty</w:t>
      </w:r>
      <w:r w:rsidR="002B251F">
        <w:t>.</w:t>
      </w:r>
      <w:r w:rsidRPr="00FD2F07">
        <w:t xml:space="preserve"> </w:t>
      </w:r>
    </w:p>
    <w:p w14:paraId="5DFBF237" w14:textId="628581C2" w:rsidR="00FD2F07" w:rsidRDefault="00FD2F07" w:rsidP="00C75AA3">
      <w:pPr>
        <w:pStyle w:val="BodyText1"/>
        <w:ind w:left="720"/>
      </w:pPr>
      <w:r w:rsidRPr="00FD2F07">
        <w:lastRenderedPageBreak/>
        <w:t xml:space="preserve">Take the significance of the uncertainty into account. </w:t>
      </w:r>
    </w:p>
    <w:p w14:paraId="656054FF" w14:textId="296079E9" w:rsidR="00FD2F07" w:rsidRDefault="00E14BEE" w:rsidP="00C75AA3">
      <w:pPr>
        <w:pStyle w:val="BodyText1"/>
      </w:pPr>
      <w:r>
        <w:t>You must take</w:t>
      </w:r>
      <w:r w:rsidR="00FD2F07" w:rsidRPr="00FD2F07">
        <w:t xml:space="preserve"> a precautionary approach in relation to abstractions used for potable water supply and in relation to ecosystems and habitats that are designated sites (e.g. SSSI). </w:t>
      </w:r>
    </w:p>
    <w:p w14:paraId="3BA9AD0E" w14:textId="7A22CD48" w:rsidR="00FD2F07" w:rsidRDefault="00FD2F07" w:rsidP="00FD2F07">
      <w:pPr>
        <w:pStyle w:val="Heading1"/>
        <w:rPr>
          <w:rFonts w:eastAsia="Times New Roman"/>
        </w:rPr>
      </w:pPr>
      <w:bookmarkStart w:id="44" w:name="_Toc193716159"/>
      <w:r>
        <w:rPr>
          <w:rFonts w:eastAsia="Times New Roman"/>
        </w:rPr>
        <w:t>Annex 3 Recommended assessment approach</w:t>
      </w:r>
      <w:bookmarkEnd w:id="44"/>
      <w:r>
        <w:rPr>
          <w:rFonts w:eastAsia="Times New Roman"/>
        </w:rPr>
        <w:t xml:space="preserve"> </w:t>
      </w:r>
    </w:p>
    <w:p w14:paraId="3AD4F5B3" w14:textId="3A5AA945" w:rsidR="00B23BAD" w:rsidRPr="00B23BAD" w:rsidRDefault="00B23BAD" w:rsidP="00C75AA3">
      <w:pPr>
        <w:pStyle w:val="BodyText1"/>
      </w:pPr>
      <w:r w:rsidRPr="00B23BAD">
        <w:t xml:space="preserve">For activities that pose a high </w:t>
      </w:r>
      <w:r w:rsidR="008569F3">
        <w:t>risk</w:t>
      </w:r>
      <w:r w:rsidRPr="00B23BAD">
        <w:t xml:space="preserve">, </w:t>
      </w:r>
      <w:r w:rsidR="00305D2B">
        <w:t xml:space="preserve">you must undertake </w:t>
      </w:r>
      <w:r w:rsidRPr="00B23BAD">
        <w:t xml:space="preserve">a site-specific risk assessment to determine if the objectives have been met. This annex sets out </w:t>
      </w:r>
      <w:r w:rsidR="00A719BD">
        <w:t>how you should</w:t>
      </w:r>
      <w:r w:rsidRPr="00B23BAD">
        <w:t xml:space="preserve"> underta</w:t>
      </w:r>
      <w:r w:rsidR="00A719BD">
        <w:t>ke</w:t>
      </w:r>
      <w:r w:rsidRPr="00B23BAD">
        <w:t xml:space="preserve"> such an assessment.  </w:t>
      </w:r>
    </w:p>
    <w:p w14:paraId="35254C54" w14:textId="732C342C" w:rsidR="00B23BAD" w:rsidRDefault="00B23BAD" w:rsidP="00C75AA3">
      <w:pPr>
        <w:pStyle w:val="BodyText1"/>
      </w:pPr>
      <w:r w:rsidRPr="00B23BAD">
        <w:t xml:space="preserve">Table 1 sets out which Groundwater Standards </w:t>
      </w:r>
      <w:r w:rsidR="00C06421">
        <w:t xml:space="preserve">you must </w:t>
      </w:r>
      <w:r w:rsidRPr="00B23BAD">
        <w:t xml:space="preserve">apply when undertaking assessment of impacts on the water environment. For </w:t>
      </w:r>
      <w:r w:rsidR="00E45E42">
        <w:t xml:space="preserve">groundwater </w:t>
      </w:r>
      <w:r w:rsidRPr="00B23BAD">
        <w:t xml:space="preserve">hazardous substances, the Environmental Standards for input into groundwater of hazardous substances apply to new or ongoing inputs into groundwater whereas pollution and status standards apply where </w:t>
      </w:r>
      <w:r w:rsidR="005420CC">
        <w:t xml:space="preserve">groundwater </w:t>
      </w:r>
      <w:r w:rsidRPr="00B23BAD">
        <w:t xml:space="preserve">hazardous substances have already entered groundwater due to past activities. </w:t>
      </w:r>
      <w:r w:rsidR="00C06421">
        <w:t>You can also take o</w:t>
      </w:r>
      <w:r w:rsidRPr="00B23BAD">
        <w:t>ther criteria into account when setting site-specific compliance limits or deriving remedial targets</w:t>
      </w:r>
      <w:r w:rsidR="00B956B2">
        <w:t xml:space="preserve">. </w:t>
      </w:r>
      <w:hyperlink w:anchor="_Next_steps_if" w:history="1">
        <w:r w:rsidRPr="00B956B2">
          <w:rPr>
            <w:rStyle w:val="Hyperlink"/>
            <w:rFonts w:ascii="Arial" w:hAnsi="Arial" w:cs="Arial"/>
          </w:rPr>
          <w:t>Section 5</w:t>
        </w:r>
      </w:hyperlink>
      <w:r w:rsidR="00B956B2">
        <w:t xml:space="preserve"> provides further details</w:t>
      </w:r>
      <w:r w:rsidRPr="00B23BAD">
        <w:t xml:space="preserve">. </w:t>
      </w:r>
    </w:p>
    <w:p w14:paraId="72EE0F46" w14:textId="79C30515" w:rsidR="00B23BAD" w:rsidRDefault="00E06FDE" w:rsidP="00B23BAD">
      <w:pPr>
        <w:pStyle w:val="Heading2"/>
        <w:rPr>
          <w:rFonts w:eastAsia="Times New Roman"/>
        </w:rPr>
      </w:pPr>
      <w:bookmarkStart w:id="45" w:name="_Toc193716160"/>
      <w:r>
        <w:rPr>
          <w:rFonts w:eastAsia="Times New Roman"/>
        </w:rPr>
        <w:t>A3.1</w:t>
      </w:r>
      <w:r>
        <w:rPr>
          <w:rFonts w:eastAsia="Times New Roman"/>
        </w:rPr>
        <w:tab/>
      </w:r>
      <w:r w:rsidR="00B23BAD">
        <w:rPr>
          <w:rFonts w:eastAsia="Times New Roman"/>
        </w:rPr>
        <w:t>General approach</w:t>
      </w:r>
      <w:bookmarkEnd w:id="45"/>
    </w:p>
    <w:p w14:paraId="62F6028A" w14:textId="5B215C02" w:rsidR="00555936" w:rsidRPr="009C2069" w:rsidRDefault="002D0097" w:rsidP="00AE47C6">
      <w:pPr>
        <w:pStyle w:val="BodyText1"/>
      </w:pPr>
      <w:r>
        <w:t xml:space="preserve">You should use an </w:t>
      </w:r>
      <w:r w:rsidR="009C2069" w:rsidRPr="009C2069">
        <w:t>assessment methodology based on a source-pathway-receptor approach</w:t>
      </w:r>
      <w:r w:rsidR="00DA33B4">
        <w:t xml:space="preserve">. You can use </w:t>
      </w:r>
      <w:r w:rsidR="009C2069" w:rsidRPr="009C2069">
        <w:t xml:space="preserve"> a phased approach using the following tiers: </w:t>
      </w:r>
    </w:p>
    <w:p w14:paraId="1FEB8266" w14:textId="3D79B170" w:rsidR="00336ACE" w:rsidRPr="00C75AA3" w:rsidRDefault="009C2069" w:rsidP="00AE47C6">
      <w:pPr>
        <w:pStyle w:val="BodyText1"/>
      </w:pPr>
      <w:r w:rsidRPr="00C75AA3">
        <w:t>Tier 1</w:t>
      </w:r>
      <w:r w:rsidR="00336ACE">
        <w:t>,</w:t>
      </w:r>
      <w:r w:rsidRPr="00C75AA3">
        <w:t xml:space="preserve"> Compare source concentrations with relevant standards</w:t>
      </w:r>
      <w:r w:rsidR="000876E4" w:rsidRPr="00C75AA3">
        <w:t>.</w:t>
      </w:r>
      <w:r w:rsidRPr="00C75AA3">
        <w:t xml:space="preserve"> </w:t>
      </w:r>
    </w:p>
    <w:p w14:paraId="141E5E16" w14:textId="600D890D" w:rsidR="00024353" w:rsidRPr="00C75AA3" w:rsidRDefault="009C2069" w:rsidP="00AE47C6">
      <w:pPr>
        <w:pStyle w:val="BodyText1"/>
      </w:pPr>
      <w:r w:rsidRPr="00C75AA3">
        <w:t>Tier 2</w:t>
      </w:r>
      <w:r w:rsidR="00336ACE">
        <w:t xml:space="preserve">, </w:t>
      </w:r>
      <w:r w:rsidRPr="00C75AA3">
        <w:t>Compare predicted concentrations at the relevant assessment point with the relevant standar</w:t>
      </w:r>
      <w:r w:rsidR="000876E4" w:rsidRPr="00C75AA3">
        <w:t xml:space="preserve">d </w:t>
      </w:r>
      <w:r w:rsidRPr="00C75AA3">
        <w:t>after dilution</w:t>
      </w:r>
    </w:p>
    <w:p w14:paraId="66B6BD26" w14:textId="6D83D6F7" w:rsidR="009C2069" w:rsidRPr="00AE47C6" w:rsidRDefault="009C2069" w:rsidP="000E36CB">
      <w:pPr>
        <w:pStyle w:val="BodyText1"/>
      </w:pPr>
      <w:r w:rsidRPr="00C75AA3">
        <w:t>Tier 3</w:t>
      </w:r>
      <w:r w:rsidR="00336ACE" w:rsidRPr="00C75AA3">
        <w:t xml:space="preserve">, </w:t>
      </w:r>
      <w:r w:rsidRPr="00C75AA3">
        <w:t>Compare predicted concentrations at the relevant assessment point with the relevant standards taking into account natural attenuation</w:t>
      </w:r>
      <w:r w:rsidR="000876E4" w:rsidRPr="00C75AA3">
        <w:t>.</w:t>
      </w:r>
      <w:r w:rsidRPr="00C75AA3">
        <w:t xml:space="preserve"> </w:t>
      </w:r>
    </w:p>
    <w:p w14:paraId="6C9D7B39" w14:textId="77777777" w:rsidR="009C2069" w:rsidRPr="009C2069" w:rsidRDefault="009C2069" w:rsidP="000E36CB">
      <w:pPr>
        <w:pStyle w:val="BodyText1"/>
        <w:rPr>
          <w:rFonts w:ascii="Arial" w:hAnsi="Arial" w:cs="Arial"/>
        </w:rPr>
      </w:pPr>
      <w:r w:rsidRPr="009C2069">
        <w:rPr>
          <w:rFonts w:ascii="Arial" w:hAnsi="Arial" w:cs="Arial"/>
        </w:rPr>
        <w:t xml:space="preserve">Dilution (Tier 2) does not apply to the Environmental Standards for input into groundwater of hazardous substances since this applies immediately prior to entry into groundwater.  </w:t>
      </w:r>
    </w:p>
    <w:p w14:paraId="727DEDA3" w14:textId="7C71BB42" w:rsidR="009C2069" w:rsidRPr="009C2069" w:rsidRDefault="009C2069" w:rsidP="000E36CB">
      <w:pPr>
        <w:pStyle w:val="BodyText1"/>
        <w:rPr>
          <w:rFonts w:ascii="Arial" w:hAnsi="Arial" w:cs="Arial"/>
        </w:rPr>
      </w:pPr>
      <w:r w:rsidRPr="009C2069">
        <w:rPr>
          <w:rFonts w:ascii="Arial" w:hAnsi="Arial" w:cs="Arial"/>
        </w:rPr>
        <w:lastRenderedPageBreak/>
        <w:t xml:space="preserve">The level of detail </w:t>
      </w:r>
      <w:r w:rsidR="005E70AD">
        <w:rPr>
          <w:rFonts w:ascii="Arial" w:hAnsi="Arial" w:cs="Arial"/>
        </w:rPr>
        <w:t xml:space="preserve">you should apply </w:t>
      </w:r>
      <w:r w:rsidR="008629F8">
        <w:rPr>
          <w:rFonts w:ascii="Arial" w:hAnsi="Arial" w:cs="Arial"/>
        </w:rPr>
        <w:t>to</w:t>
      </w:r>
      <w:r w:rsidRPr="009C2069">
        <w:rPr>
          <w:rFonts w:ascii="Arial" w:hAnsi="Arial" w:cs="Arial"/>
        </w:rPr>
        <w:t xml:space="preserve"> the assessment should be proportional to the risk posed by the source and the sensitivity of the receptors. If site-specific data is not available, </w:t>
      </w:r>
      <w:r w:rsidR="008629F8">
        <w:rPr>
          <w:rFonts w:ascii="Arial" w:hAnsi="Arial" w:cs="Arial"/>
        </w:rPr>
        <w:t xml:space="preserve">you can </w:t>
      </w:r>
      <w:r w:rsidR="00420103">
        <w:rPr>
          <w:rFonts w:ascii="Arial" w:hAnsi="Arial" w:cs="Arial"/>
        </w:rPr>
        <w:t xml:space="preserve">use </w:t>
      </w:r>
      <w:r w:rsidRPr="009C2069">
        <w:rPr>
          <w:rFonts w:ascii="Arial" w:hAnsi="Arial" w:cs="Arial"/>
        </w:rPr>
        <w:t xml:space="preserve">literature values. </w:t>
      </w:r>
      <w:r w:rsidR="00420103">
        <w:rPr>
          <w:rFonts w:ascii="Arial" w:hAnsi="Arial" w:cs="Arial"/>
        </w:rPr>
        <w:t>You must state and justify a</w:t>
      </w:r>
      <w:r w:rsidRPr="009C2069">
        <w:rPr>
          <w:rFonts w:ascii="Arial" w:hAnsi="Arial" w:cs="Arial"/>
        </w:rPr>
        <w:t>ll relevant assumptions</w:t>
      </w:r>
      <w:r w:rsidR="00420103">
        <w:rPr>
          <w:rFonts w:ascii="Arial" w:hAnsi="Arial" w:cs="Arial"/>
        </w:rPr>
        <w:t>.</w:t>
      </w:r>
    </w:p>
    <w:p w14:paraId="7D1133EC" w14:textId="14F3B0DA" w:rsidR="009C36D1" w:rsidRDefault="002775F3" w:rsidP="000E36CB">
      <w:pPr>
        <w:pStyle w:val="BodyText1"/>
      </w:pPr>
      <w:r>
        <w:rPr>
          <w:rFonts w:ascii="Arial" w:hAnsi="Arial" w:cs="Arial"/>
        </w:rPr>
        <w:t>T</w:t>
      </w:r>
      <w:r w:rsidR="009C2069" w:rsidRPr="009C2069">
        <w:rPr>
          <w:rFonts w:ascii="Arial" w:hAnsi="Arial" w:cs="Arial"/>
        </w:rPr>
        <w:t xml:space="preserve">his guidance is general and cannot cover every possible scenario. </w:t>
      </w:r>
      <w:r w:rsidR="006B2206">
        <w:rPr>
          <w:rFonts w:ascii="Arial" w:hAnsi="Arial" w:cs="Arial"/>
        </w:rPr>
        <w:t xml:space="preserve">You may need to </w:t>
      </w:r>
      <w:r w:rsidR="00F072D6">
        <w:rPr>
          <w:rFonts w:ascii="Arial" w:hAnsi="Arial" w:cs="Arial"/>
        </w:rPr>
        <w:t>use p</w:t>
      </w:r>
      <w:r w:rsidR="009C2069" w:rsidRPr="009C2069">
        <w:rPr>
          <w:rFonts w:ascii="Arial" w:hAnsi="Arial" w:cs="Arial"/>
        </w:rPr>
        <w:t xml:space="preserve">rofessional judgement </w:t>
      </w:r>
      <w:r w:rsidR="00F072D6">
        <w:rPr>
          <w:rFonts w:ascii="Arial" w:hAnsi="Arial" w:cs="Arial"/>
        </w:rPr>
        <w:t>and therefore</w:t>
      </w:r>
      <w:r w:rsidR="009C2069" w:rsidRPr="009C2069" w:rsidDel="00F072D6">
        <w:rPr>
          <w:rFonts w:ascii="Arial" w:hAnsi="Arial" w:cs="Arial"/>
        </w:rPr>
        <w:t xml:space="preserve"> </w:t>
      </w:r>
      <w:r w:rsidR="009C2069" w:rsidRPr="009C2069">
        <w:rPr>
          <w:rFonts w:ascii="Arial" w:hAnsi="Arial" w:cs="Arial"/>
        </w:rPr>
        <w:t xml:space="preserve">site-specific risk assessments </w:t>
      </w:r>
      <w:r w:rsidR="00F072D6">
        <w:rPr>
          <w:rFonts w:ascii="Arial" w:hAnsi="Arial" w:cs="Arial"/>
        </w:rPr>
        <w:t>should be</w:t>
      </w:r>
      <w:r w:rsidR="00F072D6" w:rsidRPr="009C2069">
        <w:rPr>
          <w:rFonts w:ascii="Arial" w:hAnsi="Arial" w:cs="Arial"/>
        </w:rPr>
        <w:t xml:space="preserve"> </w:t>
      </w:r>
      <w:r w:rsidR="009C2069" w:rsidRPr="009C2069">
        <w:rPr>
          <w:rFonts w:ascii="Arial" w:hAnsi="Arial" w:cs="Arial"/>
        </w:rPr>
        <w:t xml:space="preserve">undertaken by </w:t>
      </w:r>
      <w:r w:rsidR="009C2069" w:rsidRPr="000E36CB">
        <w:t xml:space="preserve">groundwater professionals with appropriate qualifications and experience relevant to the sector. </w:t>
      </w:r>
      <w:r w:rsidR="00C567C9" w:rsidRPr="000E36CB">
        <w:t>Ideally you will</w:t>
      </w:r>
      <w:r w:rsidR="00C16705" w:rsidRPr="000E36CB">
        <w:t xml:space="preserve"> be accredited by</w:t>
      </w:r>
      <w:r w:rsidR="00C567C9" w:rsidRPr="000E36CB">
        <w:t xml:space="preserve"> the</w:t>
      </w:r>
      <w:r w:rsidR="009C2069" w:rsidRPr="000E36CB">
        <w:t xml:space="preserve"> National Quality Mark Scheme</w:t>
      </w:r>
      <w:r w:rsidR="00C16705" w:rsidRPr="000E36CB">
        <w:t xml:space="preserve"> </w:t>
      </w:r>
      <w:r w:rsidR="009C2069" w:rsidRPr="000E36CB">
        <w:t>or similar accreditation scheme</w:t>
      </w:r>
      <w:r w:rsidR="009C2069" w:rsidRPr="000E36CB" w:rsidDel="00C16705">
        <w:t>.</w:t>
      </w:r>
      <w:r w:rsidR="009C2069" w:rsidRPr="000E36CB">
        <w:t xml:space="preserve"> </w:t>
      </w:r>
    </w:p>
    <w:p w14:paraId="1801DA3A" w14:textId="2911131B" w:rsidR="009C36D1" w:rsidRPr="00684F5A" w:rsidRDefault="003B720B" w:rsidP="009C36D1">
      <w:pPr>
        <w:pStyle w:val="Heading3"/>
        <w:rPr>
          <w:rFonts w:eastAsia="Times New Roman"/>
        </w:rPr>
      </w:pPr>
      <w:bookmarkStart w:id="46" w:name="_Toc193716161"/>
      <w:r>
        <w:rPr>
          <w:rFonts w:eastAsia="Times New Roman"/>
        </w:rPr>
        <w:t>A3.1.1</w:t>
      </w:r>
      <w:r>
        <w:rPr>
          <w:rFonts w:eastAsia="Times New Roman"/>
        </w:rPr>
        <w:tab/>
      </w:r>
      <w:r w:rsidR="00835311">
        <w:rPr>
          <w:rFonts w:eastAsia="Times New Roman"/>
        </w:rPr>
        <w:t>Pollutant Linkages</w:t>
      </w:r>
      <w:bookmarkEnd w:id="46"/>
    </w:p>
    <w:p w14:paraId="0833BC77" w14:textId="741E30F9" w:rsidR="00A85D72" w:rsidRPr="00A85D72" w:rsidRDefault="0090612B" w:rsidP="00C75AA3">
      <w:pPr>
        <w:pStyle w:val="BodyText1"/>
      </w:pPr>
      <w:r>
        <w:t xml:space="preserve">You should </w:t>
      </w:r>
      <w:r w:rsidR="0043094A" w:rsidRPr="00A85D72">
        <w:t>develop</w:t>
      </w:r>
      <w:r w:rsidR="0043094A">
        <w:t xml:space="preserve"> </w:t>
      </w:r>
      <w:r w:rsidR="0043094A" w:rsidRPr="00A85D72">
        <w:t>a site-specific conceptual model</w:t>
      </w:r>
      <w:r w:rsidR="0043094A">
        <w:t xml:space="preserve"> to </w:t>
      </w:r>
      <w:r>
        <w:t>c</w:t>
      </w:r>
      <w:r w:rsidR="00A85D72" w:rsidRPr="00A85D72">
        <w:t>haracteri</w:t>
      </w:r>
      <w:r w:rsidR="0043094A">
        <w:t>se</w:t>
      </w:r>
      <w:r w:rsidR="00A85D72" w:rsidRPr="00A85D72">
        <w:t xml:space="preserve"> the fate and transport of an input.</w:t>
      </w:r>
      <w:r w:rsidR="009D0CF5">
        <w:t xml:space="preserve"> This should </w:t>
      </w:r>
      <w:r w:rsidR="009D0CF5" w:rsidRPr="00A85D72">
        <w:t>use the concept of source-pathway-receptor linkages</w:t>
      </w:r>
      <w:r w:rsidR="009D0CF5">
        <w:t>.</w:t>
      </w:r>
      <w:r w:rsidR="00A85D72" w:rsidRPr="00A85D72">
        <w:t xml:space="preserve"> </w:t>
      </w:r>
      <w:r w:rsidR="009D0CF5">
        <w:t>It</w:t>
      </w:r>
      <w:r w:rsidR="003F5A19">
        <w:t xml:space="preserve"> should</w:t>
      </w:r>
      <w:r w:rsidR="00A85D72" w:rsidRPr="00A85D72">
        <w:t xml:space="preserve"> </w:t>
      </w:r>
      <w:r w:rsidR="003F5A19" w:rsidRPr="00A85D72">
        <w:t>identify</w:t>
      </w:r>
      <w:r w:rsidR="00A85D72" w:rsidRPr="00A85D72">
        <w:t xml:space="preserve"> and characteris</w:t>
      </w:r>
      <w:r w:rsidR="003F5A19">
        <w:t>e</w:t>
      </w:r>
      <w:r w:rsidR="00A85D72" w:rsidRPr="00A85D72" w:rsidDel="003F5A19">
        <w:t xml:space="preserve"> </w:t>
      </w:r>
      <w:r w:rsidR="00A85D72" w:rsidRPr="00A85D72">
        <w:t xml:space="preserve">the process and/or processes which cause migration of the substance(s) between source and receptor(s), together with the major limits and boundaries on these processes. </w:t>
      </w:r>
    </w:p>
    <w:p w14:paraId="6D7A5FDC" w14:textId="373A9EB2" w:rsidR="00A85D72" w:rsidRPr="00A85D72" w:rsidRDefault="00A940E8" w:rsidP="00C75AA3">
      <w:pPr>
        <w:pStyle w:val="BodyText1"/>
      </w:pPr>
      <w:r>
        <w:t xml:space="preserve">You must </w:t>
      </w:r>
      <w:r w:rsidR="009D0CF5">
        <w:t>consider</w:t>
      </w:r>
      <w:r>
        <w:t xml:space="preserve"> the following factors:</w:t>
      </w:r>
      <w:r w:rsidR="00A85D72" w:rsidRPr="00A85D72">
        <w:t xml:space="preserve"> </w:t>
      </w:r>
    </w:p>
    <w:p w14:paraId="0ABC7043" w14:textId="5EE6D9D8" w:rsidR="00A85D72" w:rsidRPr="00A85D72" w:rsidRDefault="009D0CF5" w:rsidP="00C75AA3">
      <w:pPr>
        <w:pStyle w:val="BodyText1"/>
        <w:numPr>
          <w:ilvl w:val="0"/>
          <w:numId w:val="77"/>
        </w:numPr>
      </w:pPr>
      <w:r>
        <w:t>P</w:t>
      </w:r>
      <w:r w:rsidR="00A85D72" w:rsidRPr="00A85D72">
        <w:t>roperties and geometry of the source</w:t>
      </w:r>
      <w:r>
        <w:t>.</w:t>
      </w:r>
      <w:r w:rsidR="00A85D72" w:rsidRPr="00A85D72">
        <w:t xml:space="preserve"> </w:t>
      </w:r>
    </w:p>
    <w:p w14:paraId="7A2B7F32" w14:textId="594022BC" w:rsidR="00A85D72" w:rsidRPr="00A85D72" w:rsidRDefault="009D0CF5" w:rsidP="00C75AA3">
      <w:pPr>
        <w:pStyle w:val="BodyText1"/>
        <w:numPr>
          <w:ilvl w:val="0"/>
          <w:numId w:val="77"/>
        </w:numPr>
      </w:pPr>
      <w:r>
        <w:t>U</w:t>
      </w:r>
      <w:r w:rsidR="00A85D72" w:rsidRPr="00A85D72">
        <w:t>nsaturated and, if required, saturated zone migration and attenuation</w:t>
      </w:r>
      <w:r>
        <w:t>.</w:t>
      </w:r>
      <w:r w:rsidR="00A85D72" w:rsidRPr="00A85D72">
        <w:t xml:space="preserve"> </w:t>
      </w:r>
    </w:p>
    <w:p w14:paraId="71BB9E97" w14:textId="0C817C63" w:rsidR="00A85D72" w:rsidRPr="00A85D72" w:rsidRDefault="009D0CF5" w:rsidP="00C75AA3">
      <w:pPr>
        <w:pStyle w:val="BodyText1"/>
        <w:numPr>
          <w:ilvl w:val="0"/>
          <w:numId w:val="77"/>
        </w:numPr>
      </w:pPr>
      <w:r>
        <w:t>R</w:t>
      </w:r>
      <w:r w:rsidR="00A85D72" w:rsidRPr="00A85D72">
        <w:t>eceptors that could be affected</w:t>
      </w:r>
      <w:r>
        <w:t>.</w:t>
      </w:r>
      <w:r w:rsidR="00A85D72" w:rsidRPr="00A85D72">
        <w:t xml:space="preserve"> </w:t>
      </w:r>
    </w:p>
    <w:p w14:paraId="45C009C1" w14:textId="5E8D9FA1" w:rsidR="00A85D72" w:rsidRPr="00A85D72" w:rsidRDefault="009D0CF5" w:rsidP="00C75AA3">
      <w:pPr>
        <w:pStyle w:val="BodyText1"/>
        <w:numPr>
          <w:ilvl w:val="0"/>
          <w:numId w:val="77"/>
        </w:numPr>
      </w:pPr>
      <w:r>
        <w:t>W</w:t>
      </w:r>
      <w:r w:rsidR="00A85D72" w:rsidRPr="00A85D72">
        <w:t>here the potential impact will be assessed</w:t>
      </w:r>
      <w:r>
        <w:t>.</w:t>
      </w:r>
      <w:r w:rsidR="00A85D72" w:rsidRPr="00A85D72">
        <w:t xml:space="preserve"> </w:t>
      </w:r>
    </w:p>
    <w:p w14:paraId="646F6EB3" w14:textId="6BE572A9" w:rsidR="00A85D72" w:rsidRPr="00AE47C6" w:rsidRDefault="009D0CF5" w:rsidP="00AE47C6">
      <w:pPr>
        <w:pStyle w:val="BodyText1"/>
        <w:numPr>
          <w:ilvl w:val="0"/>
          <w:numId w:val="77"/>
        </w:numPr>
      </w:pPr>
      <w:r>
        <w:t>W</w:t>
      </w:r>
      <w:r w:rsidR="00A85D72" w:rsidRPr="00A85D72">
        <w:t xml:space="preserve">hat assessment limit to use. </w:t>
      </w:r>
    </w:p>
    <w:p w14:paraId="102315AF" w14:textId="0719D57E" w:rsidR="00A85D72" w:rsidRPr="00A85D72" w:rsidRDefault="00A85D72" w:rsidP="00C75AA3">
      <w:pPr>
        <w:pStyle w:val="BodyText1"/>
      </w:pPr>
      <w:r w:rsidRPr="00A85D72">
        <w:t>When developing a site-specific conceptual model</w:t>
      </w:r>
      <w:r w:rsidR="009D0CF5">
        <w:t xml:space="preserve"> you should </w:t>
      </w:r>
      <w:r w:rsidR="00A36988">
        <w:t>consider</w:t>
      </w:r>
      <w:r w:rsidRPr="00A85D72">
        <w:t xml:space="preserve"> both current and potential future conditions. </w:t>
      </w:r>
    </w:p>
    <w:p w14:paraId="7B9E63B4" w14:textId="0B64739B" w:rsidR="00A85D72" w:rsidRPr="00A85D72" w:rsidRDefault="0014633A" w:rsidP="00C75AA3">
      <w:pPr>
        <w:pStyle w:val="BodyText1"/>
      </w:pPr>
      <w:r>
        <w:t>You should also consider p</w:t>
      </w:r>
      <w:r w:rsidR="00A85D72" w:rsidRPr="00A85D72">
        <w:t xml:space="preserve">otential climate change impacts </w:t>
      </w:r>
      <w:r w:rsidR="00B2177C">
        <w:t xml:space="preserve">and potential </w:t>
      </w:r>
      <w:r w:rsidR="006A293D">
        <w:t>extreme</w:t>
      </w:r>
      <w:r w:rsidR="00B2177C">
        <w:t xml:space="preserve"> events </w:t>
      </w:r>
      <w:r w:rsidR="00A85D72" w:rsidRPr="00A85D72">
        <w:t xml:space="preserve">whilst developing the conceptual site model as well as during any detailed quantitative modelling or sensitivity analysis. </w:t>
      </w:r>
    </w:p>
    <w:p w14:paraId="18417440" w14:textId="77777777" w:rsidR="00A85D72" w:rsidRPr="00A85D72" w:rsidRDefault="00A85D72" w:rsidP="00C75AA3">
      <w:pPr>
        <w:pStyle w:val="BodyText1"/>
      </w:pPr>
      <w:r w:rsidRPr="00A85D72">
        <w:t xml:space="preserve">Some climate change impacts that may be worth considering include: </w:t>
      </w:r>
    </w:p>
    <w:p w14:paraId="2215758C" w14:textId="681E89E9" w:rsidR="00A85D72" w:rsidRPr="00A85D72" w:rsidRDefault="00A85D72" w:rsidP="00C75AA3">
      <w:pPr>
        <w:pStyle w:val="BodyText1"/>
        <w:numPr>
          <w:ilvl w:val="0"/>
          <w:numId w:val="78"/>
        </w:numPr>
      </w:pPr>
      <w:r w:rsidRPr="00A85D72">
        <w:lastRenderedPageBreak/>
        <w:t>Changes in precipitation, both annual average and individual rainfall events</w:t>
      </w:r>
      <w:r w:rsidR="0018165D">
        <w:t>.</w:t>
      </w:r>
    </w:p>
    <w:p w14:paraId="2C4B3B7A" w14:textId="10726AA9" w:rsidR="00A85D72" w:rsidRPr="00A85D72" w:rsidRDefault="00A85D72" w:rsidP="00C75AA3">
      <w:pPr>
        <w:pStyle w:val="BodyText1"/>
        <w:numPr>
          <w:ilvl w:val="0"/>
          <w:numId w:val="78"/>
        </w:numPr>
      </w:pPr>
      <w:r w:rsidRPr="00A85D72">
        <w:t xml:space="preserve">Changes in frequency </w:t>
      </w:r>
      <w:r w:rsidR="005C1FE1">
        <w:t xml:space="preserve">or magnitude </w:t>
      </w:r>
      <w:r w:rsidRPr="00A85D72">
        <w:t>of extreme events such as floods and droughts</w:t>
      </w:r>
      <w:r w:rsidR="0018165D">
        <w:t>.</w:t>
      </w:r>
    </w:p>
    <w:p w14:paraId="5D3572F6" w14:textId="2138239E" w:rsidR="00A85D72" w:rsidRPr="00A85D72" w:rsidRDefault="00A85D72" w:rsidP="00C75AA3">
      <w:pPr>
        <w:pStyle w:val="BodyText1"/>
        <w:numPr>
          <w:ilvl w:val="0"/>
          <w:numId w:val="78"/>
        </w:numPr>
      </w:pPr>
      <w:r w:rsidRPr="00A85D72">
        <w:t>Changes in sea level &amp; coastal erosion</w:t>
      </w:r>
      <w:r w:rsidR="0018165D">
        <w:t>.</w:t>
      </w:r>
    </w:p>
    <w:p w14:paraId="668837AF" w14:textId="010B23FC" w:rsidR="00A85D72" w:rsidRPr="00A85D72" w:rsidRDefault="00A85D72" w:rsidP="00C75AA3">
      <w:pPr>
        <w:pStyle w:val="BodyText1"/>
        <w:numPr>
          <w:ilvl w:val="0"/>
          <w:numId w:val="78"/>
        </w:numPr>
      </w:pPr>
      <w:r w:rsidRPr="00A85D72">
        <w:t>Changes in groundwater levels including seasonal trends</w:t>
      </w:r>
      <w:r w:rsidR="0018165D">
        <w:t>.</w:t>
      </w:r>
    </w:p>
    <w:p w14:paraId="1C7E82AB" w14:textId="77777777" w:rsidR="00A85D72" w:rsidRPr="00A85D72" w:rsidRDefault="00A85D72" w:rsidP="00AE47C6">
      <w:pPr>
        <w:pStyle w:val="BodyText1"/>
        <w:numPr>
          <w:ilvl w:val="0"/>
          <w:numId w:val="78"/>
        </w:numPr>
      </w:pPr>
      <w:r w:rsidRPr="00A85D72">
        <w:t>Changes in air and water temperature, which may influence contaminant mobility and microbial activity</w:t>
      </w:r>
      <w:r w:rsidR="0018165D">
        <w:t>.</w:t>
      </w:r>
    </w:p>
    <w:p w14:paraId="41799B54" w14:textId="75175E03" w:rsidR="00A85D72" w:rsidRPr="00AE47C6" w:rsidRDefault="00A85D72" w:rsidP="00AE47C6">
      <w:pPr>
        <w:pStyle w:val="BodyText1"/>
        <w:numPr>
          <w:ilvl w:val="0"/>
          <w:numId w:val="78"/>
        </w:numPr>
      </w:pPr>
      <w:r w:rsidRPr="00A85D72">
        <w:t>Changes to ecosystems.</w:t>
      </w:r>
    </w:p>
    <w:p w14:paraId="6FF468FD" w14:textId="77777777" w:rsidR="00EB482E" w:rsidRDefault="00A85D72" w:rsidP="00EB482E">
      <w:pPr>
        <w:pStyle w:val="BodyText1"/>
      </w:pPr>
      <w:r w:rsidRPr="00A85D72">
        <w:t xml:space="preserve">Whether or not </w:t>
      </w:r>
      <w:r w:rsidR="009B5AD6">
        <w:t>you need to include</w:t>
      </w:r>
      <w:r w:rsidRPr="00A85D72">
        <w:t xml:space="preserve"> site-specific climate change impacts </w:t>
      </w:r>
      <w:r w:rsidR="00771D36">
        <w:t xml:space="preserve">in your </w:t>
      </w:r>
      <w:r w:rsidR="00821A31">
        <w:t xml:space="preserve">modelling </w:t>
      </w:r>
      <w:r w:rsidRPr="00A85D72">
        <w:t>will depend on the timescale of the scenario being assessed, the environmental setting, and the degree of uncertainty that is tolerable in the assessment results. Not all potential climate change impacts will be of significance for every site or for every activity</w:t>
      </w:r>
      <w:r w:rsidR="53C2E6C7" w:rsidRPr="3BBB6280">
        <w:t>.</w:t>
      </w:r>
      <w:r w:rsidR="00B06C94">
        <w:t xml:space="preserve"> F</w:t>
      </w:r>
      <w:r w:rsidRPr="00A85D72">
        <w:t>or example</w:t>
      </w:r>
      <w:r w:rsidR="00AE47C6">
        <w:t>,</w:t>
      </w:r>
      <w:r w:rsidRPr="00A85D72">
        <w:t xml:space="preserve"> coastal erosion is only likely to be important for sites near the coast. Deciding which factors to consider further for a particular site will require professional judgement. </w:t>
      </w:r>
      <w:r w:rsidR="00B06C94">
        <w:t>You sho</w:t>
      </w:r>
      <w:r w:rsidR="00202668">
        <w:t xml:space="preserve">uld accompany any </w:t>
      </w:r>
      <w:r w:rsidRPr="00A85D72">
        <w:t xml:space="preserve">submissions of conceptual models and associated risk assessment </w:t>
      </w:r>
      <w:r w:rsidR="00202668">
        <w:t xml:space="preserve">with a </w:t>
      </w:r>
      <w:r w:rsidRPr="00A85D72">
        <w:t>justification as to why potential climate change impacts have been included or discounted.</w:t>
      </w:r>
    </w:p>
    <w:p w14:paraId="2A97B1AA" w14:textId="78AF1638" w:rsidR="00A85D72" w:rsidRPr="00EB482E" w:rsidRDefault="003B720B" w:rsidP="00EB482E">
      <w:pPr>
        <w:pStyle w:val="Heading3"/>
        <w:rPr>
          <w:rFonts w:eastAsiaTheme="minorEastAsia"/>
        </w:rPr>
      </w:pPr>
      <w:bookmarkStart w:id="47" w:name="_Toc193716162"/>
      <w:r>
        <w:t>A3.1.2</w:t>
      </w:r>
      <w:r>
        <w:tab/>
      </w:r>
      <w:r w:rsidR="00A85D72">
        <w:t>Source characterisation</w:t>
      </w:r>
      <w:bookmarkEnd w:id="47"/>
    </w:p>
    <w:p w14:paraId="38FCFBAB" w14:textId="701C4CD9" w:rsidR="0096485C" w:rsidRPr="0096485C" w:rsidRDefault="0020607D" w:rsidP="00C75AA3">
      <w:pPr>
        <w:pStyle w:val="BodyText1"/>
        <w:rPr>
          <w:rFonts w:ascii="Arial" w:hAnsi="Arial" w:cs="Arial"/>
        </w:rPr>
      </w:pPr>
      <w:r>
        <w:rPr>
          <w:rFonts w:ascii="Arial" w:hAnsi="Arial" w:cs="Arial"/>
        </w:rPr>
        <w:t>You must characterise or define t</w:t>
      </w:r>
      <w:r w:rsidR="0096485C" w:rsidRPr="0096485C">
        <w:rPr>
          <w:rFonts w:ascii="Arial" w:hAnsi="Arial" w:cs="Arial"/>
        </w:rPr>
        <w:t xml:space="preserve">he source(s) as part of the conceptual model. Both the geometry and the composition of the source must be considered. </w:t>
      </w:r>
    </w:p>
    <w:p w14:paraId="5C4F9314" w14:textId="08BD1EB7" w:rsidR="0096485C" w:rsidRDefault="0096485C" w:rsidP="00C75AA3">
      <w:pPr>
        <w:pStyle w:val="BodyText1"/>
        <w:rPr>
          <w:rFonts w:ascii="Arial" w:hAnsi="Arial" w:cs="Arial"/>
        </w:rPr>
      </w:pPr>
      <w:r w:rsidRPr="0096485C">
        <w:rPr>
          <w:rFonts w:ascii="Arial" w:hAnsi="Arial" w:cs="Arial"/>
        </w:rPr>
        <w:t xml:space="preserve">For proposed new inputs (i.e. not yet built), </w:t>
      </w:r>
      <w:r w:rsidR="00A81E5D">
        <w:rPr>
          <w:rFonts w:ascii="Arial" w:hAnsi="Arial" w:cs="Arial"/>
        </w:rPr>
        <w:t xml:space="preserve">you should define </w:t>
      </w:r>
      <w:r w:rsidRPr="0096485C">
        <w:rPr>
          <w:rFonts w:ascii="Arial" w:hAnsi="Arial" w:cs="Arial"/>
        </w:rPr>
        <w:t xml:space="preserve">the source area based on the system design and specification.   </w:t>
      </w:r>
    </w:p>
    <w:p w14:paraId="73CA5CCD" w14:textId="03DB327F" w:rsidR="0096485C" w:rsidRPr="0096485C" w:rsidRDefault="0096485C" w:rsidP="00C75AA3">
      <w:pPr>
        <w:pStyle w:val="BodyText1"/>
      </w:pPr>
      <w:r w:rsidRPr="0096485C">
        <w:t xml:space="preserve">For existing inputs, </w:t>
      </w:r>
      <w:r w:rsidR="00D8352C">
        <w:t xml:space="preserve">you should characterise </w:t>
      </w:r>
      <w:r w:rsidRPr="0096485C">
        <w:t xml:space="preserve">the source area based on the available evidence, which might include: </w:t>
      </w:r>
    </w:p>
    <w:p w14:paraId="67723D45" w14:textId="1F4C4D57" w:rsidR="0096485C" w:rsidRPr="0096485C" w:rsidRDefault="0096485C" w:rsidP="005D1BC8">
      <w:pPr>
        <w:pStyle w:val="BodyText1"/>
        <w:numPr>
          <w:ilvl w:val="0"/>
          <w:numId w:val="104"/>
        </w:numPr>
      </w:pPr>
      <w:r w:rsidRPr="0096485C">
        <w:t>Details of the system design and construction (if known) for active discharges (e.g. soakaways) or for engineered systems (e.g. PPC landfills</w:t>
      </w:r>
      <w:r>
        <w:t>)</w:t>
      </w:r>
      <w:r w:rsidR="4FDBDDD7">
        <w:t>.</w:t>
      </w:r>
      <w:r w:rsidRPr="0096485C">
        <w:t xml:space="preserve"> </w:t>
      </w:r>
    </w:p>
    <w:p w14:paraId="7C155DD9" w14:textId="199A0B56" w:rsidR="0096485C" w:rsidRPr="0096485C" w:rsidRDefault="0096485C" w:rsidP="005D1BC8">
      <w:pPr>
        <w:pStyle w:val="BodyText1"/>
        <w:numPr>
          <w:ilvl w:val="0"/>
          <w:numId w:val="104"/>
        </w:numPr>
      </w:pPr>
      <w:r w:rsidRPr="0096485C">
        <w:lastRenderedPageBreak/>
        <w:t xml:space="preserve">Desk study and / or ground investigation in accordance with BS5930:2015 +A1:2020 and BS10175:2011+A2:2017 for historical passive inputs (e.g. land contamination). </w:t>
      </w:r>
    </w:p>
    <w:p w14:paraId="75B481B5" w14:textId="49A11BD1" w:rsidR="00CB7410" w:rsidRDefault="0060031A" w:rsidP="00A81E5D">
      <w:pPr>
        <w:pStyle w:val="BodyText1"/>
      </w:pPr>
      <w:r>
        <w:t>It may</w:t>
      </w:r>
      <w:r w:rsidR="00CB7410">
        <w:t xml:space="preserve"> not</w:t>
      </w:r>
      <w:r>
        <w:t xml:space="preserve"> </w:t>
      </w:r>
      <w:r w:rsidR="0096485C" w:rsidRPr="0096485C" w:rsidDel="00CB7410">
        <w:t>be</w:t>
      </w:r>
      <w:r w:rsidR="0096485C" w:rsidRPr="0096485C">
        <w:t xml:space="preserve"> feasible to fully characterise source geometry</w:t>
      </w:r>
      <w:r>
        <w:t>/volumes</w:t>
      </w:r>
      <w:r w:rsidR="0096485C" w:rsidRPr="0096485C">
        <w:t>, for example</w:t>
      </w:r>
      <w:r w:rsidR="00CB7410">
        <w:t>:</w:t>
      </w:r>
    </w:p>
    <w:p w14:paraId="63428D7F" w14:textId="44B4F824" w:rsidR="0060031A" w:rsidRDefault="00CB7410" w:rsidP="00C75AA3">
      <w:pPr>
        <w:pStyle w:val="BodyText1"/>
        <w:numPr>
          <w:ilvl w:val="0"/>
          <w:numId w:val="80"/>
        </w:numPr>
      </w:pPr>
      <w:r>
        <w:t>A</w:t>
      </w:r>
      <w:r w:rsidR="0096485C" w:rsidRPr="0096485C">
        <w:t>ccess constraints related to structures or services</w:t>
      </w:r>
      <w:r>
        <w:t>.</w:t>
      </w:r>
    </w:p>
    <w:p w14:paraId="3D50C5B3" w14:textId="3DABAA97" w:rsidR="0060031A" w:rsidRDefault="0060031A" w:rsidP="00C75AA3">
      <w:pPr>
        <w:pStyle w:val="BodyText1"/>
        <w:numPr>
          <w:ilvl w:val="0"/>
          <w:numId w:val="80"/>
        </w:numPr>
      </w:pPr>
      <w:r>
        <w:t>I</w:t>
      </w:r>
      <w:r w:rsidR="0096485C" w:rsidRPr="0096485C">
        <w:t>f the source extends beyond the site boundary</w:t>
      </w:r>
      <w:r>
        <w:t>.</w:t>
      </w:r>
    </w:p>
    <w:p w14:paraId="0E272A3A" w14:textId="77777777" w:rsidR="0060031A" w:rsidRDefault="0096485C" w:rsidP="00C75AA3">
      <w:pPr>
        <w:pStyle w:val="BodyText1"/>
        <w:numPr>
          <w:ilvl w:val="0"/>
          <w:numId w:val="80"/>
        </w:numPr>
      </w:pPr>
      <w:r w:rsidRPr="0096485C">
        <w:t xml:space="preserve">DNAPLs in a fractured rock setting. </w:t>
      </w:r>
    </w:p>
    <w:p w14:paraId="2E789E9B" w14:textId="36529045" w:rsidR="0096485C" w:rsidRPr="0096485C" w:rsidRDefault="009E3242" w:rsidP="00C75AA3">
      <w:pPr>
        <w:pStyle w:val="BodyText1"/>
      </w:pPr>
      <w:r>
        <w:t>You should identify and manage a</w:t>
      </w:r>
      <w:r w:rsidR="0096485C" w:rsidRPr="0096485C">
        <w:t xml:space="preserve">ny uncertainty in the source characterisation and any consequent assumptions </w:t>
      </w:r>
      <w:r>
        <w:t>as part of</w:t>
      </w:r>
      <w:r w:rsidR="0096485C" w:rsidRPr="0096485C">
        <w:t xml:space="preserve"> the risk assessment. The degree of uncertainty that can be tolerated at a particular site will depend on the likely risks posed by the source, which in turn depends on the nature of the source, the potential pathways, and the proximity of sensitive receptors.</w:t>
      </w:r>
    </w:p>
    <w:p w14:paraId="3DA81F2B" w14:textId="2939AA41" w:rsidR="0096485C" w:rsidRPr="00EB482E" w:rsidRDefault="0096485C" w:rsidP="00C75AA3">
      <w:pPr>
        <w:pStyle w:val="BodyText1"/>
      </w:pPr>
      <w:r w:rsidRPr="0096485C">
        <w:t xml:space="preserve">If there are multiple sources of the same/similar composition in close proximity to one another, </w:t>
      </w:r>
      <w:r w:rsidR="00222756">
        <w:t xml:space="preserve">you should </w:t>
      </w:r>
      <w:r w:rsidRPr="0096485C">
        <w:t xml:space="preserve">consider whether </w:t>
      </w:r>
      <w:r w:rsidR="009D0113">
        <w:t>they should be assessed</w:t>
      </w:r>
      <w:r w:rsidRPr="0096485C" w:rsidDel="009D0113">
        <w:t xml:space="preserve"> </w:t>
      </w:r>
      <w:r w:rsidRPr="0096485C">
        <w:t xml:space="preserve">individually or together as a combined source. </w:t>
      </w:r>
      <w:r w:rsidR="00927D58">
        <w:t>I</w:t>
      </w:r>
      <w:r w:rsidRPr="0096485C">
        <w:t xml:space="preserve">f the sources are likely to result in a combined plume (i.e. individual plumes are predicted to overlap), then </w:t>
      </w:r>
      <w:r w:rsidR="00927D58">
        <w:t>you should normally</w:t>
      </w:r>
      <w:r w:rsidRPr="0096485C">
        <w:t xml:space="preserve"> consider the impacts cumulatively. </w:t>
      </w:r>
    </w:p>
    <w:p w14:paraId="4B5C8D8F" w14:textId="3372B04D" w:rsidR="0096485C" w:rsidRPr="0096485C" w:rsidRDefault="0096485C" w:rsidP="00C75AA3">
      <w:pPr>
        <w:pStyle w:val="BodyText1"/>
        <w:rPr>
          <w:rFonts w:ascii="Arial" w:hAnsi="Arial" w:cs="Arial"/>
        </w:rPr>
      </w:pPr>
      <w:r w:rsidRPr="0096485C">
        <w:rPr>
          <w:rFonts w:ascii="Arial" w:hAnsi="Arial" w:cs="Arial"/>
        </w:rPr>
        <w:t xml:space="preserve">When considering sources that include NAPLs, </w:t>
      </w:r>
      <w:r w:rsidR="005B44DD">
        <w:rPr>
          <w:rFonts w:ascii="Arial" w:hAnsi="Arial" w:cs="Arial"/>
        </w:rPr>
        <w:t xml:space="preserve">you should take into account </w:t>
      </w:r>
      <w:r w:rsidRPr="0096485C">
        <w:rPr>
          <w:rFonts w:ascii="Arial" w:hAnsi="Arial" w:cs="Arial"/>
        </w:rPr>
        <w:t xml:space="preserve">the effective solubility when estimating inputs into groundwater. This </w:t>
      </w:r>
      <w:r w:rsidR="005B44DD">
        <w:rPr>
          <w:rFonts w:ascii="Arial" w:hAnsi="Arial" w:cs="Arial"/>
        </w:rPr>
        <w:t>can</w:t>
      </w:r>
      <w:r w:rsidR="005B44DD" w:rsidRPr="0096485C">
        <w:rPr>
          <w:rFonts w:ascii="Arial" w:hAnsi="Arial" w:cs="Arial"/>
        </w:rPr>
        <w:t xml:space="preserve"> </w:t>
      </w:r>
      <w:r w:rsidRPr="0096485C">
        <w:rPr>
          <w:rFonts w:ascii="Arial" w:hAnsi="Arial" w:cs="Arial"/>
        </w:rPr>
        <w:t>be modified on a site-specific basis</w:t>
      </w:r>
      <w:r w:rsidR="005B44DD">
        <w:rPr>
          <w:rFonts w:ascii="Arial" w:hAnsi="Arial" w:cs="Arial"/>
        </w:rPr>
        <w:t xml:space="preserve">. For </w:t>
      </w:r>
      <w:r w:rsidR="000257D3">
        <w:rPr>
          <w:rFonts w:ascii="Arial" w:hAnsi="Arial" w:cs="Arial"/>
        </w:rPr>
        <w:t>example,</w:t>
      </w:r>
      <w:r w:rsidRPr="0096485C" w:rsidDel="005B44DD">
        <w:rPr>
          <w:rFonts w:ascii="Arial" w:hAnsi="Arial" w:cs="Arial"/>
        </w:rPr>
        <w:t xml:space="preserve"> </w:t>
      </w:r>
      <w:r w:rsidRPr="0096485C">
        <w:rPr>
          <w:rFonts w:ascii="Arial" w:hAnsi="Arial" w:cs="Arial"/>
        </w:rPr>
        <w:t xml:space="preserve">to account for the mixture of contaminants present. </w:t>
      </w:r>
    </w:p>
    <w:p w14:paraId="1AE6C652" w14:textId="17A8E9CD" w:rsidR="009C36D1" w:rsidRDefault="007C29C5" w:rsidP="00C75AA3">
      <w:pPr>
        <w:pStyle w:val="BodyText1"/>
      </w:pPr>
      <w:r>
        <w:rPr>
          <w:rFonts w:ascii="Arial" w:hAnsi="Arial" w:cs="Arial"/>
        </w:rPr>
        <w:t>You should c</w:t>
      </w:r>
      <w:r w:rsidR="0096485C" w:rsidRPr="0096485C">
        <w:rPr>
          <w:rFonts w:ascii="Arial" w:hAnsi="Arial" w:cs="Arial"/>
        </w:rPr>
        <w:t xml:space="preserve">onsider whether the source is best assessed as a constant source term or whether a declining source term would be more representative taking into account the site-specific conditions. </w:t>
      </w:r>
      <w:r w:rsidR="00E51044">
        <w:rPr>
          <w:rFonts w:ascii="Arial" w:hAnsi="Arial" w:cs="Arial"/>
        </w:rPr>
        <w:t>You can take f</w:t>
      </w:r>
      <w:r w:rsidR="0096485C" w:rsidRPr="0096485C">
        <w:rPr>
          <w:rFonts w:ascii="Arial" w:hAnsi="Arial" w:cs="Arial"/>
        </w:rPr>
        <w:t xml:space="preserve">actors such as variations in leaching behaviour over time or natural source zone depletion if they can be adequately justified using measured and/or modelled data. </w:t>
      </w:r>
    </w:p>
    <w:p w14:paraId="21EF75DD" w14:textId="27700F58" w:rsidR="0096485C" w:rsidRPr="00684F5A" w:rsidRDefault="003B720B" w:rsidP="001C0711">
      <w:pPr>
        <w:pStyle w:val="Heading3"/>
        <w:rPr>
          <w:rFonts w:eastAsia="Times New Roman"/>
        </w:rPr>
      </w:pPr>
      <w:bookmarkStart w:id="48" w:name="_Toc193716163"/>
      <w:r>
        <w:rPr>
          <w:rFonts w:eastAsia="Times New Roman"/>
        </w:rPr>
        <w:t>A3.1.3</w:t>
      </w:r>
      <w:r>
        <w:rPr>
          <w:rFonts w:eastAsia="Times New Roman"/>
        </w:rPr>
        <w:tab/>
      </w:r>
      <w:r w:rsidR="0096485C">
        <w:rPr>
          <w:rFonts w:eastAsia="Times New Roman"/>
        </w:rPr>
        <w:t>Pathway characterisation</w:t>
      </w:r>
      <w:bookmarkEnd w:id="48"/>
    </w:p>
    <w:p w14:paraId="7B22C535" w14:textId="5B4126A9" w:rsidR="00F64134" w:rsidRPr="00F64134" w:rsidRDefault="000257D3" w:rsidP="00C75AA3">
      <w:pPr>
        <w:pStyle w:val="BodyText1"/>
        <w:rPr>
          <w:rFonts w:ascii="Arial" w:hAnsi="Arial" w:cs="Arial"/>
        </w:rPr>
      </w:pPr>
      <w:r>
        <w:rPr>
          <w:rFonts w:ascii="Arial" w:hAnsi="Arial" w:cs="Arial"/>
        </w:rPr>
        <w:t xml:space="preserve">You must </w:t>
      </w:r>
      <w:r w:rsidR="00BD4A30">
        <w:rPr>
          <w:rFonts w:ascii="Arial" w:hAnsi="Arial" w:cs="Arial"/>
        </w:rPr>
        <w:t>characterise t</w:t>
      </w:r>
      <w:r w:rsidR="00F64134" w:rsidRPr="00F64134">
        <w:rPr>
          <w:rFonts w:ascii="Arial" w:hAnsi="Arial" w:cs="Arial"/>
        </w:rPr>
        <w:t xml:space="preserve">he pathway(s) between the point of entry to groundwater and the relevant receptors as part of the conceptual model.  </w:t>
      </w:r>
    </w:p>
    <w:p w14:paraId="618E3C36" w14:textId="23C52351" w:rsidR="00F64134" w:rsidRPr="00F64134" w:rsidRDefault="00BD4A30" w:rsidP="00C75AA3">
      <w:pPr>
        <w:pStyle w:val="BodyText1"/>
        <w:rPr>
          <w:rFonts w:ascii="Arial" w:hAnsi="Arial" w:cs="Arial"/>
        </w:rPr>
      </w:pPr>
      <w:r>
        <w:rPr>
          <w:rFonts w:ascii="Arial" w:hAnsi="Arial" w:cs="Arial"/>
        </w:rPr>
        <w:lastRenderedPageBreak/>
        <w:t xml:space="preserve">You can take into account any </w:t>
      </w:r>
      <w:r w:rsidR="00F64134" w:rsidRPr="00F64134" w:rsidDel="00E041C1">
        <w:rPr>
          <w:rFonts w:ascii="Arial" w:hAnsi="Arial" w:cs="Arial"/>
        </w:rPr>
        <w:t>constraints on contaminant migration</w:t>
      </w:r>
      <w:r w:rsidR="00F64134" w:rsidRPr="00F64134">
        <w:rPr>
          <w:rFonts w:ascii="Arial" w:hAnsi="Arial" w:cs="Arial"/>
        </w:rPr>
        <w:t xml:space="preserve"> </w:t>
      </w:r>
      <w:r>
        <w:rPr>
          <w:rFonts w:ascii="Arial" w:hAnsi="Arial" w:cs="Arial"/>
        </w:rPr>
        <w:t>if</w:t>
      </w:r>
      <w:r w:rsidR="00F64134" w:rsidRPr="00F64134">
        <w:rPr>
          <w:rFonts w:ascii="Arial" w:hAnsi="Arial" w:cs="Arial"/>
        </w:rPr>
        <w:t xml:space="preserve"> they are appropriately justified. </w:t>
      </w:r>
      <w:r w:rsidR="00E041C1">
        <w:rPr>
          <w:rFonts w:ascii="Arial" w:hAnsi="Arial" w:cs="Arial"/>
        </w:rPr>
        <w:t xml:space="preserve">For example, </w:t>
      </w:r>
      <w:r w:rsidR="00F64134" w:rsidRPr="00F64134">
        <w:rPr>
          <w:rFonts w:ascii="Arial" w:hAnsi="Arial" w:cs="Arial"/>
        </w:rPr>
        <w:t xml:space="preserve">hydraulic barriers to groundwater flow or major discharge zones such as the sea or a river. </w:t>
      </w:r>
      <w:r w:rsidR="00E041C1">
        <w:rPr>
          <w:rFonts w:ascii="Arial" w:hAnsi="Arial" w:cs="Arial"/>
        </w:rPr>
        <w:t xml:space="preserve">You should also consider </w:t>
      </w:r>
      <w:r w:rsidR="00F64134" w:rsidRPr="00F64134">
        <w:rPr>
          <w:rFonts w:ascii="Arial" w:hAnsi="Arial" w:cs="Arial"/>
        </w:rPr>
        <w:t xml:space="preserve">the potential for the existence of preferential pathways (natural or man-made) that may influence contaminant migration.  </w:t>
      </w:r>
    </w:p>
    <w:p w14:paraId="71AEC72A" w14:textId="4475ADC1" w:rsidR="00F64134" w:rsidRPr="00F64134" w:rsidRDefault="00CD7D8F" w:rsidP="00C75AA3">
      <w:pPr>
        <w:pStyle w:val="BodyText1"/>
        <w:rPr>
          <w:rFonts w:ascii="Arial" w:hAnsi="Arial" w:cs="Arial"/>
        </w:rPr>
      </w:pPr>
      <w:r>
        <w:rPr>
          <w:rFonts w:ascii="Arial" w:hAnsi="Arial" w:cs="Arial"/>
        </w:rPr>
        <w:t>You can consider a</w:t>
      </w:r>
      <w:r w:rsidR="00F64134" w:rsidRPr="00F64134">
        <w:rPr>
          <w:rFonts w:ascii="Arial" w:hAnsi="Arial" w:cs="Arial"/>
        </w:rPr>
        <w:t xml:space="preserve">ttenuation processes in the unsaturated and saturated zone between the source and the receptor </w:t>
      </w:r>
      <w:r>
        <w:rPr>
          <w:rFonts w:ascii="Arial" w:hAnsi="Arial" w:cs="Arial"/>
        </w:rPr>
        <w:t>if</w:t>
      </w:r>
      <w:r w:rsidR="00F64134" w:rsidRPr="00F64134">
        <w:rPr>
          <w:rFonts w:ascii="Arial" w:hAnsi="Arial" w:cs="Arial"/>
        </w:rPr>
        <w:t xml:space="preserve"> they are appropriately justified (see A3.4 for further details). </w:t>
      </w:r>
      <w:r>
        <w:rPr>
          <w:rFonts w:ascii="Arial" w:hAnsi="Arial" w:cs="Arial"/>
        </w:rPr>
        <w:t>You should only assume there will be d</w:t>
      </w:r>
      <w:r w:rsidR="00F64134" w:rsidRPr="00F64134">
        <w:rPr>
          <w:rFonts w:ascii="Arial" w:hAnsi="Arial" w:cs="Arial"/>
        </w:rPr>
        <w:t xml:space="preserve">egradation of contaminants where hydrogeological conditions indicate that it is likely to occur. Both the original contaminant and its daughter products should be taken into account in the assessment. </w:t>
      </w:r>
    </w:p>
    <w:p w14:paraId="5470A772" w14:textId="77777777" w:rsidR="00F64134" w:rsidRPr="00F64134" w:rsidRDefault="00F64134" w:rsidP="00C75AA3">
      <w:pPr>
        <w:pStyle w:val="BodyText1"/>
        <w:rPr>
          <w:rFonts w:ascii="Arial" w:hAnsi="Arial" w:cs="Arial"/>
        </w:rPr>
      </w:pPr>
      <w:r w:rsidRPr="00F64134">
        <w:rPr>
          <w:rFonts w:ascii="Arial" w:hAnsi="Arial" w:cs="Arial"/>
        </w:rPr>
        <w:t>The thickness of the mixing zone within groundwater will be dependent on:</w:t>
      </w:r>
    </w:p>
    <w:p w14:paraId="00D498AF" w14:textId="4C50EA83" w:rsidR="00F64134" w:rsidRPr="00F64134" w:rsidRDefault="00F64134" w:rsidP="00C75AA3">
      <w:pPr>
        <w:pStyle w:val="BodyText1"/>
        <w:numPr>
          <w:ilvl w:val="0"/>
          <w:numId w:val="81"/>
        </w:numPr>
        <w:rPr>
          <w:rFonts w:ascii="Arial" w:hAnsi="Arial" w:cs="Arial"/>
        </w:rPr>
      </w:pPr>
      <w:r w:rsidRPr="00F64134">
        <w:rPr>
          <w:rFonts w:ascii="Arial" w:hAnsi="Arial" w:cs="Arial"/>
        </w:rPr>
        <w:t>Source geometry</w:t>
      </w:r>
      <w:r w:rsidR="10D81510" w:rsidRPr="3BBB6280">
        <w:rPr>
          <w:rFonts w:ascii="Arial" w:hAnsi="Arial" w:cs="Arial"/>
        </w:rPr>
        <w:t>.</w:t>
      </w:r>
    </w:p>
    <w:p w14:paraId="76F223FF" w14:textId="769127C6" w:rsidR="00F64134" w:rsidRPr="00F64134" w:rsidRDefault="00F64134" w:rsidP="00C75AA3">
      <w:pPr>
        <w:pStyle w:val="BodyText1"/>
        <w:numPr>
          <w:ilvl w:val="0"/>
          <w:numId w:val="81"/>
        </w:numPr>
        <w:rPr>
          <w:rFonts w:ascii="Arial" w:hAnsi="Arial" w:cs="Arial"/>
        </w:rPr>
      </w:pPr>
      <w:r w:rsidRPr="00F64134">
        <w:rPr>
          <w:rFonts w:ascii="Arial" w:hAnsi="Arial" w:cs="Arial"/>
        </w:rPr>
        <w:t>Geological setting, particularly in relation to layering, fracturing, and/or weathering</w:t>
      </w:r>
      <w:r w:rsidR="54AA790F" w:rsidRPr="3BBB6280">
        <w:rPr>
          <w:rFonts w:ascii="Arial" w:hAnsi="Arial" w:cs="Arial"/>
        </w:rPr>
        <w:t>.</w:t>
      </w:r>
    </w:p>
    <w:p w14:paraId="02FA874F" w14:textId="77777777" w:rsidR="00F64134" w:rsidRPr="00F64134" w:rsidRDefault="00F64134" w:rsidP="005D1BC8">
      <w:pPr>
        <w:pStyle w:val="BodyText1"/>
        <w:numPr>
          <w:ilvl w:val="0"/>
          <w:numId w:val="81"/>
        </w:numPr>
        <w:rPr>
          <w:rFonts w:ascii="Arial" w:hAnsi="Arial" w:cs="Arial"/>
        </w:rPr>
      </w:pPr>
      <w:r w:rsidRPr="00F64134">
        <w:rPr>
          <w:rFonts w:ascii="Arial" w:hAnsi="Arial" w:cs="Arial"/>
        </w:rPr>
        <w:t>Groundwater flow regime</w:t>
      </w:r>
      <w:r w:rsidR="547748E4" w:rsidRPr="3BBB6280">
        <w:rPr>
          <w:rFonts w:ascii="Arial" w:hAnsi="Arial" w:cs="Arial"/>
        </w:rPr>
        <w:t>.</w:t>
      </w:r>
    </w:p>
    <w:p w14:paraId="133CB50C" w14:textId="36C37209" w:rsidR="00F64134" w:rsidRPr="001C0711" w:rsidRDefault="00F64134" w:rsidP="005D1BC8">
      <w:pPr>
        <w:pStyle w:val="BodyText1"/>
        <w:numPr>
          <w:ilvl w:val="0"/>
          <w:numId w:val="81"/>
        </w:numPr>
        <w:rPr>
          <w:rFonts w:ascii="Arial" w:hAnsi="Arial" w:cs="Arial"/>
        </w:rPr>
      </w:pPr>
      <w:r w:rsidRPr="00F64134">
        <w:rPr>
          <w:rFonts w:ascii="Arial" w:hAnsi="Arial" w:cs="Arial"/>
        </w:rPr>
        <w:t xml:space="preserve">Presence of any preferential pathways. </w:t>
      </w:r>
    </w:p>
    <w:p w14:paraId="6642E4D2" w14:textId="70E151D3" w:rsidR="001C0711" w:rsidRPr="00F64134" w:rsidRDefault="008E7D59" w:rsidP="00C75AA3">
      <w:pPr>
        <w:pStyle w:val="BodyText1"/>
        <w:rPr>
          <w:rFonts w:ascii="Arial" w:hAnsi="Arial" w:cs="Arial"/>
        </w:rPr>
      </w:pPr>
      <w:r>
        <w:rPr>
          <w:rFonts w:ascii="Arial" w:hAnsi="Arial" w:cs="Arial"/>
        </w:rPr>
        <w:t xml:space="preserve">You should estimate the </w:t>
      </w:r>
      <w:r w:rsidR="00F64134" w:rsidRPr="00F64134">
        <w:rPr>
          <w:rFonts w:ascii="Arial" w:hAnsi="Arial" w:cs="Arial"/>
        </w:rPr>
        <w:t xml:space="preserve">mixing zone thickness using professional judgement and site-specific data on local ground conditions and/or by the use of empirical equations. </w:t>
      </w:r>
      <w:r w:rsidR="001C0711">
        <w:rPr>
          <w:rFonts w:ascii="Arial" w:hAnsi="Arial" w:cs="Arial"/>
        </w:rPr>
        <w:t>Your</w:t>
      </w:r>
      <w:r w:rsidR="001C0711" w:rsidRPr="00F64134">
        <w:rPr>
          <w:rFonts w:ascii="Arial" w:hAnsi="Arial" w:cs="Arial"/>
        </w:rPr>
        <w:t xml:space="preserve"> </w:t>
      </w:r>
      <w:r w:rsidR="00F64134" w:rsidRPr="00F64134">
        <w:rPr>
          <w:rFonts w:ascii="Arial" w:hAnsi="Arial" w:cs="Arial"/>
        </w:rPr>
        <w:t>approach should be justified in the risk assessment submission.</w:t>
      </w:r>
    </w:p>
    <w:p w14:paraId="5240FB24" w14:textId="5961A6D1" w:rsidR="0096485C" w:rsidRPr="005512C6" w:rsidRDefault="00515A9B" w:rsidP="005512C6">
      <w:pPr>
        <w:pStyle w:val="BodyText1"/>
        <w:rPr>
          <w:rFonts w:ascii="Arial" w:hAnsi="Arial" w:cs="Arial"/>
        </w:rPr>
      </w:pPr>
      <w:r>
        <w:rPr>
          <w:rFonts w:ascii="Arial" w:hAnsi="Arial" w:cs="Arial"/>
        </w:rPr>
        <w:t>I</w:t>
      </w:r>
      <w:r w:rsidR="007026BC">
        <w:rPr>
          <w:rFonts w:ascii="Arial" w:hAnsi="Arial" w:cs="Arial"/>
        </w:rPr>
        <w:t>f you can’t</w:t>
      </w:r>
      <w:r w:rsidR="00F64134" w:rsidRPr="00F64134">
        <w:rPr>
          <w:rFonts w:ascii="Arial" w:hAnsi="Arial" w:cs="Arial"/>
        </w:rPr>
        <w:t xml:space="preserve"> fully characterise all pathways, for example owing to access constraints related to structures or services</w:t>
      </w:r>
      <w:r w:rsidR="007026BC">
        <w:rPr>
          <w:rFonts w:ascii="Arial" w:hAnsi="Arial" w:cs="Arial"/>
        </w:rPr>
        <w:t xml:space="preserve"> you can </w:t>
      </w:r>
      <w:r w:rsidR="00F64134" w:rsidRPr="00F64134">
        <w:rPr>
          <w:rFonts w:ascii="Arial" w:hAnsi="Arial" w:cs="Arial"/>
        </w:rPr>
        <w:t xml:space="preserve">use published maps and literature sources to supplement site-specific investigation and data. </w:t>
      </w:r>
      <w:r>
        <w:rPr>
          <w:rFonts w:ascii="Arial" w:hAnsi="Arial" w:cs="Arial"/>
        </w:rPr>
        <w:t>You must justify a</w:t>
      </w:r>
      <w:r w:rsidRPr="00F64134">
        <w:rPr>
          <w:rFonts w:ascii="Arial" w:hAnsi="Arial" w:cs="Arial"/>
        </w:rPr>
        <w:t xml:space="preserve">ny </w:t>
      </w:r>
      <w:r w:rsidR="00F64134" w:rsidRPr="00F64134">
        <w:rPr>
          <w:rFonts w:ascii="Arial" w:hAnsi="Arial" w:cs="Arial"/>
        </w:rPr>
        <w:t xml:space="preserve">uncertainty in the pathway characterisation and any consequent assumptions </w:t>
      </w:r>
      <w:r>
        <w:rPr>
          <w:rFonts w:ascii="Arial" w:hAnsi="Arial" w:cs="Arial"/>
        </w:rPr>
        <w:t>in</w:t>
      </w:r>
      <w:r w:rsidR="00F64134" w:rsidRPr="00F64134">
        <w:rPr>
          <w:rFonts w:ascii="Arial" w:hAnsi="Arial" w:cs="Arial"/>
        </w:rPr>
        <w:t xml:space="preserve"> the risk assessment. </w:t>
      </w:r>
    </w:p>
    <w:p w14:paraId="4CC916B1" w14:textId="331C3D2D" w:rsidR="00F64134" w:rsidRPr="00684F5A" w:rsidRDefault="003B720B" w:rsidP="00F64134">
      <w:pPr>
        <w:pStyle w:val="Heading3"/>
        <w:rPr>
          <w:rFonts w:eastAsia="Times New Roman"/>
        </w:rPr>
      </w:pPr>
      <w:bookmarkStart w:id="49" w:name="_Toc193716164"/>
      <w:r>
        <w:rPr>
          <w:rFonts w:eastAsia="Times New Roman"/>
        </w:rPr>
        <w:t>A3.1.4</w:t>
      </w:r>
      <w:r>
        <w:rPr>
          <w:rFonts w:eastAsia="Times New Roman"/>
        </w:rPr>
        <w:tab/>
      </w:r>
      <w:r w:rsidR="00F64134">
        <w:rPr>
          <w:rFonts w:eastAsia="Times New Roman"/>
        </w:rPr>
        <w:t>Rec</w:t>
      </w:r>
      <w:r w:rsidR="002A7CF2">
        <w:rPr>
          <w:rFonts w:eastAsia="Times New Roman"/>
        </w:rPr>
        <w:t>eptor</w:t>
      </w:r>
      <w:r w:rsidR="00F64134">
        <w:rPr>
          <w:rFonts w:eastAsia="Times New Roman"/>
        </w:rPr>
        <w:t xml:space="preserve"> characterisation</w:t>
      </w:r>
      <w:bookmarkEnd w:id="49"/>
    </w:p>
    <w:p w14:paraId="424C691B" w14:textId="1CC78DBC" w:rsidR="001C479E" w:rsidRPr="001C479E" w:rsidRDefault="00F02084" w:rsidP="00C75AA3">
      <w:pPr>
        <w:pStyle w:val="BodyText1"/>
      </w:pPr>
      <w:r>
        <w:t xml:space="preserve">You must </w:t>
      </w:r>
      <w:r w:rsidR="001C479E" w:rsidRPr="001C479E">
        <w:t>conside</w:t>
      </w:r>
      <w:r>
        <w:t>r the key receptors in your risk assessment</w:t>
      </w:r>
      <w:r w:rsidR="001C479E" w:rsidRPr="001C479E">
        <w:t xml:space="preserve"> includ</w:t>
      </w:r>
      <w:r>
        <w:t>ing</w:t>
      </w:r>
      <w:r w:rsidR="001C479E" w:rsidRPr="001C479E">
        <w:t xml:space="preserve">: </w:t>
      </w:r>
    </w:p>
    <w:p w14:paraId="08690AE0" w14:textId="65EA4A65" w:rsidR="001C479E" w:rsidRPr="001C479E" w:rsidRDefault="001C479E" w:rsidP="00C75AA3">
      <w:pPr>
        <w:pStyle w:val="BodyText1"/>
        <w:numPr>
          <w:ilvl w:val="0"/>
          <w:numId w:val="82"/>
        </w:numPr>
      </w:pPr>
      <w:r w:rsidRPr="001C479E">
        <w:t xml:space="preserve">Groundwater (for </w:t>
      </w:r>
      <w:r w:rsidR="005A69B7">
        <w:t xml:space="preserve">groundwater </w:t>
      </w:r>
      <w:r w:rsidRPr="001C479E">
        <w:t>hazardous substances only)</w:t>
      </w:r>
      <w:r w:rsidR="00F02084">
        <w:t>.</w:t>
      </w:r>
      <w:r w:rsidRPr="001C479E">
        <w:t xml:space="preserve"> </w:t>
      </w:r>
    </w:p>
    <w:p w14:paraId="40D2F397" w14:textId="7B1FB272" w:rsidR="001C479E" w:rsidRPr="001C479E" w:rsidRDefault="001C479E" w:rsidP="00C75AA3">
      <w:pPr>
        <w:pStyle w:val="BodyText1"/>
        <w:numPr>
          <w:ilvl w:val="0"/>
          <w:numId w:val="82"/>
        </w:numPr>
      </w:pPr>
      <w:r w:rsidRPr="001C479E">
        <w:lastRenderedPageBreak/>
        <w:t xml:space="preserve">Potential future groundwater resources (for both </w:t>
      </w:r>
      <w:r w:rsidR="005A69B7">
        <w:t xml:space="preserve">groundwater </w:t>
      </w:r>
      <w:r w:rsidRPr="001C479E">
        <w:t>hazardous and non-hazardous substances)</w:t>
      </w:r>
      <w:r w:rsidR="00F02084">
        <w:t>.</w:t>
      </w:r>
      <w:r w:rsidRPr="001C479E">
        <w:t xml:space="preserve"> </w:t>
      </w:r>
    </w:p>
    <w:p w14:paraId="77D7B4E1" w14:textId="2BEB1D1B" w:rsidR="001C479E" w:rsidRPr="001C479E" w:rsidRDefault="001C479E" w:rsidP="00C75AA3">
      <w:pPr>
        <w:pStyle w:val="BodyText1"/>
        <w:numPr>
          <w:ilvl w:val="0"/>
          <w:numId w:val="82"/>
        </w:numPr>
      </w:pPr>
      <w:r w:rsidRPr="001C479E">
        <w:t>Surface waters</w:t>
      </w:r>
      <w:r w:rsidR="00F02084">
        <w:t>.</w:t>
      </w:r>
      <w:r w:rsidRPr="001C479E">
        <w:t xml:space="preserve"> </w:t>
      </w:r>
    </w:p>
    <w:p w14:paraId="29431174" w14:textId="0281A0F8" w:rsidR="001C479E" w:rsidRPr="001C479E" w:rsidRDefault="001C479E" w:rsidP="00C75AA3">
      <w:pPr>
        <w:pStyle w:val="BodyText1"/>
        <w:numPr>
          <w:ilvl w:val="1"/>
          <w:numId w:val="82"/>
        </w:numPr>
      </w:pPr>
      <w:r w:rsidRPr="001C479E">
        <w:t>Rivers and streams</w:t>
      </w:r>
      <w:r w:rsidR="00F02084">
        <w:t>.</w:t>
      </w:r>
      <w:r w:rsidRPr="001C479E">
        <w:t xml:space="preserve"> </w:t>
      </w:r>
    </w:p>
    <w:p w14:paraId="0D015068" w14:textId="2A2DF85B" w:rsidR="001C479E" w:rsidRPr="001C479E" w:rsidRDefault="001C479E" w:rsidP="00C75AA3">
      <w:pPr>
        <w:pStyle w:val="BodyText1"/>
        <w:numPr>
          <w:ilvl w:val="1"/>
          <w:numId w:val="82"/>
        </w:numPr>
      </w:pPr>
      <w:r w:rsidRPr="001C479E">
        <w:t>Lochs</w:t>
      </w:r>
      <w:r w:rsidR="00F02084">
        <w:t>.</w:t>
      </w:r>
      <w:r w:rsidRPr="001C479E">
        <w:t xml:space="preserve"> </w:t>
      </w:r>
    </w:p>
    <w:p w14:paraId="06766147" w14:textId="5EF3AEF5" w:rsidR="001C479E" w:rsidRPr="001C479E" w:rsidRDefault="001C479E" w:rsidP="00C75AA3">
      <w:pPr>
        <w:pStyle w:val="BodyText1"/>
        <w:numPr>
          <w:ilvl w:val="1"/>
          <w:numId w:val="82"/>
        </w:numPr>
      </w:pPr>
      <w:r w:rsidRPr="001C479E">
        <w:t>Coastal and transitional waters</w:t>
      </w:r>
      <w:r w:rsidR="00F02084">
        <w:t>.</w:t>
      </w:r>
      <w:r w:rsidRPr="001C479E">
        <w:t xml:space="preserve"> </w:t>
      </w:r>
    </w:p>
    <w:p w14:paraId="4854E7B9" w14:textId="219301BA" w:rsidR="001C479E" w:rsidRDefault="001C479E" w:rsidP="00C75AA3">
      <w:pPr>
        <w:pStyle w:val="BodyText1"/>
        <w:numPr>
          <w:ilvl w:val="0"/>
          <w:numId w:val="82"/>
        </w:numPr>
      </w:pPr>
      <w:r w:rsidRPr="001C479E">
        <w:t>Existing abstractions</w:t>
      </w:r>
      <w:r w:rsidR="00F02084">
        <w:t>.</w:t>
      </w:r>
      <w:r w:rsidRPr="001C479E">
        <w:t xml:space="preserve">  </w:t>
      </w:r>
    </w:p>
    <w:p w14:paraId="4CA0932A" w14:textId="617D26A2" w:rsidR="00C66947" w:rsidRPr="00C66947" w:rsidRDefault="001C479E" w:rsidP="00C66947">
      <w:pPr>
        <w:pStyle w:val="BodyText1"/>
        <w:numPr>
          <w:ilvl w:val="0"/>
          <w:numId w:val="82"/>
        </w:numPr>
      </w:pPr>
      <w:r w:rsidRPr="001C479E">
        <w:t>Groundwater dependent terrestrial ecosystems.</w:t>
      </w:r>
    </w:p>
    <w:p w14:paraId="35C4D12E" w14:textId="13BD589A" w:rsidR="001C479E" w:rsidRPr="00684F5A" w:rsidRDefault="003B720B" w:rsidP="001C479E">
      <w:pPr>
        <w:pStyle w:val="Heading3"/>
        <w:rPr>
          <w:rFonts w:eastAsia="Times New Roman"/>
        </w:rPr>
      </w:pPr>
      <w:bookmarkStart w:id="50" w:name="_Toc193716165"/>
      <w:r>
        <w:rPr>
          <w:rFonts w:eastAsia="Times New Roman"/>
        </w:rPr>
        <w:t>A3.1.5</w:t>
      </w:r>
      <w:r>
        <w:rPr>
          <w:rFonts w:eastAsia="Times New Roman"/>
        </w:rPr>
        <w:tab/>
      </w:r>
      <w:r w:rsidR="00B65B7A">
        <w:rPr>
          <w:rFonts w:eastAsia="Times New Roman"/>
        </w:rPr>
        <w:t>Calculation of annual average concentrations</w:t>
      </w:r>
      <w:bookmarkEnd w:id="50"/>
    </w:p>
    <w:p w14:paraId="354489D5" w14:textId="6D768DBD" w:rsidR="001D1786" w:rsidRPr="001D1786" w:rsidRDefault="009D0217" w:rsidP="00C75AA3">
      <w:pPr>
        <w:pStyle w:val="BodyText1"/>
      </w:pPr>
      <w:r>
        <w:t>You should calculate</w:t>
      </w:r>
      <w:r w:rsidR="001D1786" w:rsidRPr="001D1786">
        <w:t xml:space="preserve"> annual average concentrations for comparison with the Groundwater Standards</w:t>
      </w:r>
      <w:r w:rsidR="00851A8D">
        <w:t xml:space="preserve"> using the following guidelines:</w:t>
      </w:r>
    </w:p>
    <w:p w14:paraId="21689216" w14:textId="78288FFB" w:rsidR="001D1786" w:rsidRPr="001D1786" w:rsidRDefault="001D1786" w:rsidP="00C75AA3">
      <w:pPr>
        <w:pStyle w:val="BodyText1"/>
        <w:numPr>
          <w:ilvl w:val="0"/>
          <w:numId w:val="84"/>
        </w:numPr>
      </w:pPr>
      <w:r w:rsidRPr="001D1786">
        <w:t xml:space="preserve">When assessing risks to future groundwater resources, </w:t>
      </w:r>
      <w:r w:rsidR="00AD2087">
        <w:t>you can</w:t>
      </w:r>
      <w:r w:rsidRPr="001D1786">
        <w:t xml:space="preserve"> use an annual average source term concentration that accounts for any seasonal variations in loading.</w:t>
      </w:r>
    </w:p>
    <w:p w14:paraId="43B92A70" w14:textId="472887FE" w:rsidR="001D1786" w:rsidRPr="001D1786" w:rsidRDefault="001D1786" w:rsidP="00C75AA3">
      <w:pPr>
        <w:pStyle w:val="BodyText1"/>
        <w:numPr>
          <w:ilvl w:val="0"/>
          <w:numId w:val="84"/>
        </w:numPr>
      </w:pPr>
      <w:r w:rsidRPr="001D1786">
        <w:t xml:space="preserve">When assessing risks to groundwater-dependent receptors, such as surface waters or abstractions, </w:t>
      </w:r>
      <w:r w:rsidR="00F03B04">
        <w:t xml:space="preserve">you can take into account </w:t>
      </w:r>
      <w:r w:rsidRPr="001D1786">
        <w:t xml:space="preserve">seasonal factors for the source term, pathways and receptors. Both annual average and peak loading should be assessed.   </w:t>
      </w:r>
    </w:p>
    <w:p w14:paraId="319DD95D" w14:textId="0D41B8DE" w:rsidR="001D1786" w:rsidRPr="001D1786" w:rsidRDefault="00F03B04" w:rsidP="00C75AA3">
      <w:pPr>
        <w:pStyle w:val="BodyText1"/>
        <w:numPr>
          <w:ilvl w:val="0"/>
          <w:numId w:val="84"/>
        </w:numPr>
      </w:pPr>
      <w:r>
        <w:t>You should calculate a</w:t>
      </w:r>
      <w:r w:rsidR="001D1786" w:rsidRPr="001D1786">
        <w:t xml:space="preserve">nnual average concentrations in groundwater at the assessment or compliance points on a temporal basis only. </w:t>
      </w:r>
    </w:p>
    <w:p w14:paraId="0FA893FD" w14:textId="04ACBA4A" w:rsidR="001D1786" w:rsidRPr="001D1786" w:rsidRDefault="00B17017" w:rsidP="00C75AA3">
      <w:pPr>
        <w:pStyle w:val="BodyText1"/>
        <w:numPr>
          <w:ilvl w:val="0"/>
          <w:numId w:val="84"/>
        </w:numPr>
      </w:pPr>
      <w:r>
        <w:t>You can calculate a</w:t>
      </w:r>
      <w:r w:rsidR="001D1786" w:rsidRPr="001D1786">
        <w:t xml:space="preserve">nnual averages on a rolling basis if appropriate, rather than being for a specific calendar year. </w:t>
      </w:r>
    </w:p>
    <w:p w14:paraId="51420429" w14:textId="6A886DD2" w:rsidR="001D1786" w:rsidRPr="001D1786" w:rsidRDefault="001D1786" w:rsidP="00C75AA3">
      <w:pPr>
        <w:pStyle w:val="BodyText1"/>
        <w:numPr>
          <w:ilvl w:val="0"/>
          <w:numId w:val="84"/>
        </w:numPr>
      </w:pPr>
      <w:r w:rsidRPr="001D1786">
        <w:t xml:space="preserve">The minimum number of data points required to calculate an annual average will vary on a site-specific basis, taking into account the conceptual site model, the variability of the dataset, comparison of measured concentrations relative to relevant standards, and the anticipated level of risk to the water environment. </w:t>
      </w:r>
      <w:r w:rsidR="008A7582">
        <w:t>You should take into account a</w:t>
      </w:r>
      <w:r w:rsidRPr="001D1786">
        <w:t xml:space="preserve">ny </w:t>
      </w:r>
      <w:r w:rsidRPr="001D1786">
        <w:lastRenderedPageBreak/>
        <w:t>potential seasonal or other temporal variations in the</w:t>
      </w:r>
      <w:r w:rsidRPr="001D1786" w:rsidDel="00D242FC">
        <w:t xml:space="preserve"> </w:t>
      </w:r>
      <w:r w:rsidR="00D242FC">
        <w:t>dataset</w:t>
      </w:r>
      <w:r w:rsidRPr="001D1786">
        <w:t xml:space="preserve">. If datasets are comparatively limited, then </w:t>
      </w:r>
      <w:r w:rsidR="00D242FC">
        <w:t xml:space="preserve">you should take </w:t>
      </w:r>
      <w:r w:rsidRPr="001D1786">
        <w:t>a more conservative approach to risk assessment, including appropriate sensitivity analysis. Some suggestions regarding typical dataset requirements are presented below:</w:t>
      </w:r>
    </w:p>
    <w:p w14:paraId="6CA67C06" w14:textId="0EE9FBD7" w:rsidR="001D1786" w:rsidRPr="001D1786" w:rsidRDefault="001D1786" w:rsidP="00C75AA3">
      <w:pPr>
        <w:pStyle w:val="BodyText1"/>
        <w:numPr>
          <w:ilvl w:val="1"/>
          <w:numId w:val="84"/>
        </w:numPr>
      </w:pPr>
      <w:r w:rsidRPr="001D1786">
        <w:t xml:space="preserve">To give a ‘snapshot’ of current groundwater quality, </w:t>
      </w:r>
      <w:r w:rsidR="00DA13C0">
        <w:t>you should take</w:t>
      </w:r>
      <w:r w:rsidRPr="001D1786">
        <w:t xml:space="preserve"> a minimum of three rounds at least a week apart.  </w:t>
      </w:r>
    </w:p>
    <w:p w14:paraId="49F0D7EF" w14:textId="416F25D2" w:rsidR="001D1786" w:rsidRPr="001D1786" w:rsidRDefault="001D1786" w:rsidP="00C75AA3">
      <w:pPr>
        <w:pStyle w:val="BodyText1"/>
        <w:numPr>
          <w:ilvl w:val="1"/>
          <w:numId w:val="84"/>
        </w:numPr>
      </w:pPr>
      <w:r w:rsidRPr="001D1786">
        <w:t xml:space="preserve">For scenarios where seasonality may be of greater significance, </w:t>
      </w:r>
      <w:r w:rsidR="00BB7C67">
        <w:t>you</w:t>
      </w:r>
      <w:r w:rsidR="00FF765E">
        <w:t xml:space="preserve"> should</w:t>
      </w:r>
      <w:r w:rsidR="00BB7C67">
        <w:t xml:space="preserve"> carry out </w:t>
      </w:r>
      <w:r w:rsidRPr="001D1786">
        <w:t xml:space="preserve">a minimum of quarterly monitoring over at least 12 months. Alternatively, </w:t>
      </w:r>
      <w:r w:rsidR="00FF765E">
        <w:t xml:space="preserve">you could undertake </w:t>
      </w:r>
      <w:r w:rsidRPr="001D1786">
        <w:t xml:space="preserve">monthly monitoring over at least 6 months during the most relevant season (summer or winter) for the activity in question. </w:t>
      </w:r>
    </w:p>
    <w:p w14:paraId="3798B913" w14:textId="600AC466" w:rsidR="001D1786" w:rsidRPr="001D1786" w:rsidRDefault="001D1786" w:rsidP="00C75AA3">
      <w:pPr>
        <w:pStyle w:val="BodyText1"/>
        <w:numPr>
          <w:ilvl w:val="1"/>
          <w:numId w:val="84"/>
        </w:numPr>
      </w:pPr>
      <w:r w:rsidRPr="001D1786">
        <w:t xml:space="preserve">For complex sites and/or higher risk situations, </w:t>
      </w:r>
      <w:r w:rsidR="00FF765E">
        <w:t xml:space="preserve">you should carry out </w:t>
      </w:r>
      <w:r w:rsidRPr="001D1786">
        <w:t xml:space="preserve">monitoring at least monthly over at least 12 months. </w:t>
      </w:r>
    </w:p>
    <w:p w14:paraId="7900F227" w14:textId="3DA326ED" w:rsidR="001D1786" w:rsidRPr="001D1786" w:rsidRDefault="001D1786" w:rsidP="00C75AA3">
      <w:pPr>
        <w:pStyle w:val="BodyText1"/>
        <w:numPr>
          <w:ilvl w:val="1"/>
          <w:numId w:val="84"/>
        </w:numPr>
      </w:pPr>
      <w:r w:rsidRPr="001D1786">
        <w:t xml:space="preserve">If long-term (&gt;5 years) monitoring is required, </w:t>
      </w:r>
      <w:r w:rsidR="00A12389">
        <w:t xml:space="preserve">you should take </w:t>
      </w:r>
      <w:r w:rsidRPr="001D1786">
        <w:t xml:space="preserve">a phased </w:t>
      </w:r>
      <w:r w:rsidRPr="001D1786" w:rsidDel="00A12389">
        <w:t xml:space="preserve">approach </w:t>
      </w:r>
      <w:r w:rsidRPr="001D1786">
        <w:t>with the frequency of monitoring gradually reducing over time, taking into account any seasonal or other temporal patterns observed.</w:t>
      </w:r>
    </w:p>
    <w:p w14:paraId="3456C3B8" w14:textId="371926B1" w:rsidR="001D1786" w:rsidRPr="001D1786" w:rsidRDefault="001D1786" w:rsidP="00C75AA3">
      <w:pPr>
        <w:pStyle w:val="BodyText1"/>
        <w:numPr>
          <w:ilvl w:val="1"/>
          <w:numId w:val="84"/>
        </w:numPr>
      </w:pPr>
      <w:r w:rsidRPr="001D1786">
        <w:t xml:space="preserve">If monitoring groundwater that is tidally influenced, </w:t>
      </w:r>
      <w:r w:rsidR="00A12389">
        <w:t xml:space="preserve">you should </w:t>
      </w:r>
      <w:r w:rsidR="00766DAB">
        <w:t>consider</w:t>
      </w:r>
      <w:r w:rsidR="00A12389">
        <w:t xml:space="preserve"> </w:t>
      </w:r>
      <w:r w:rsidRPr="001D1786">
        <w:t>both the frequency of monitoring and the exact timing of the monitoring rounds relative to the tidal cycle when planning monitoring and when interpreting the results.</w:t>
      </w:r>
    </w:p>
    <w:p w14:paraId="7F9F45ED" w14:textId="7ED747F6" w:rsidR="001D1786" w:rsidRPr="001D1786" w:rsidRDefault="00766DAB" w:rsidP="00C75AA3">
      <w:pPr>
        <w:pStyle w:val="BodyText1"/>
        <w:numPr>
          <w:ilvl w:val="0"/>
          <w:numId w:val="84"/>
        </w:numPr>
      </w:pPr>
      <w:r>
        <w:t xml:space="preserve">It may be more appropriate for you to use </w:t>
      </w:r>
      <w:r w:rsidR="001D1786" w:rsidRPr="001D1786">
        <w:t>a geometric mean, rather than an arithmetic mean, for parameters varying by more than two orders of magnitude, depending on the distribution of the dataset.</w:t>
      </w:r>
    </w:p>
    <w:p w14:paraId="1C4A9E5E" w14:textId="498B9BA7" w:rsidR="001D1786" w:rsidRPr="001D1786" w:rsidRDefault="009E5BC5" w:rsidP="00C75AA3">
      <w:pPr>
        <w:pStyle w:val="BodyText1"/>
        <w:numPr>
          <w:ilvl w:val="0"/>
          <w:numId w:val="84"/>
        </w:numPr>
      </w:pPr>
      <w:r>
        <w:t>If v</w:t>
      </w:r>
      <w:r w:rsidR="001D1786" w:rsidRPr="001D1786">
        <w:t>alues</w:t>
      </w:r>
      <w:r w:rsidR="001D1786" w:rsidRPr="001D1786" w:rsidDel="009E5BC5">
        <w:t xml:space="preserve"> </w:t>
      </w:r>
      <w:r w:rsidR="001D1786" w:rsidRPr="001D1786">
        <w:t xml:space="preserve">are less than the limit of detection </w:t>
      </w:r>
      <w:r>
        <w:t xml:space="preserve">you </w:t>
      </w:r>
      <w:r w:rsidR="001D1786" w:rsidRPr="001D1786">
        <w:t xml:space="preserve">should </w:t>
      </w:r>
      <w:r>
        <w:t>assume that they are</w:t>
      </w:r>
      <w:r w:rsidR="001D1786" w:rsidRPr="001D1786" w:rsidDel="009E5BC5">
        <w:t xml:space="preserve"> </w:t>
      </w:r>
      <w:r w:rsidR="001D1786" w:rsidRPr="001D1786">
        <w:t xml:space="preserve">equal to 50% of the limit of detection. </w:t>
      </w:r>
    </w:p>
    <w:p w14:paraId="54CDA603" w14:textId="3D3691D6" w:rsidR="00DE622A" w:rsidRDefault="00CF1D2B" w:rsidP="00C75AA3">
      <w:pPr>
        <w:pStyle w:val="BodyText1"/>
        <w:numPr>
          <w:ilvl w:val="0"/>
          <w:numId w:val="84"/>
        </w:numPr>
      </w:pPr>
      <w:r>
        <w:t>You should only exclude p</w:t>
      </w:r>
      <w:r w:rsidR="001D1786" w:rsidRPr="001D1786">
        <w:t xml:space="preserve">otential outliers from the dataset if </w:t>
      </w:r>
      <w:r>
        <w:t>you have</w:t>
      </w:r>
      <w:r w:rsidR="001D1786" w:rsidRPr="001D1786">
        <w:t xml:space="preserve"> supporting evidence to justify their omission</w:t>
      </w:r>
      <w:r w:rsidR="00176782">
        <w:t xml:space="preserve">. For example, </w:t>
      </w:r>
      <w:r w:rsidR="001D1786" w:rsidRPr="001D1786">
        <w:t xml:space="preserve">a documented problem with the sampling /analysis or results of more detailed statistical analysis. </w:t>
      </w:r>
      <w:r w:rsidR="0029764E">
        <w:t>You should apply c</w:t>
      </w:r>
      <w:r w:rsidR="001D1786" w:rsidRPr="001D1786">
        <w:t>aution in the treatment of outliers, particularly when</w:t>
      </w:r>
      <w:r w:rsidR="00DE622A">
        <w:t>:</w:t>
      </w:r>
      <w:r w:rsidR="001D1786" w:rsidRPr="001D1786">
        <w:t xml:space="preserve"> </w:t>
      </w:r>
    </w:p>
    <w:p w14:paraId="65736135" w14:textId="2C3B8950" w:rsidR="00DE622A" w:rsidRDefault="000F687D" w:rsidP="00C75AA3">
      <w:pPr>
        <w:pStyle w:val="BodyText1"/>
        <w:numPr>
          <w:ilvl w:val="1"/>
          <w:numId w:val="84"/>
        </w:numPr>
      </w:pPr>
      <w:r>
        <w:lastRenderedPageBreak/>
        <w:t>A</w:t>
      </w:r>
      <w:r w:rsidR="001D1786" w:rsidRPr="001D1786">
        <w:t>ssessing small datasets</w:t>
      </w:r>
      <w:r>
        <w:t>.</w:t>
      </w:r>
      <w:r w:rsidR="001D1786" w:rsidRPr="001D1786">
        <w:t xml:space="preserve"> </w:t>
      </w:r>
    </w:p>
    <w:p w14:paraId="4E18AC04" w14:textId="04455D66" w:rsidR="00DE622A" w:rsidRDefault="000F687D" w:rsidP="00C75AA3">
      <w:pPr>
        <w:pStyle w:val="BodyText1"/>
        <w:numPr>
          <w:ilvl w:val="1"/>
          <w:numId w:val="84"/>
        </w:numPr>
      </w:pPr>
      <w:r>
        <w:t>D</w:t>
      </w:r>
      <w:r w:rsidR="001D1786" w:rsidRPr="001D1786">
        <w:t>atasets</w:t>
      </w:r>
      <w:r w:rsidR="001D1786" w:rsidRPr="001D1786" w:rsidDel="000F687D">
        <w:t xml:space="preserve"> </w:t>
      </w:r>
      <w:r w:rsidR="001D1786" w:rsidRPr="001D1786">
        <w:t xml:space="preserve">include a significant proportion of non-detects. </w:t>
      </w:r>
    </w:p>
    <w:p w14:paraId="7C7CECB7" w14:textId="0F1D24BC" w:rsidR="00DE622A" w:rsidRDefault="000F687D" w:rsidP="00C75AA3">
      <w:pPr>
        <w:pStyle w:val="BodyText1"/>
        <w:numPr>
          <w:ilvl w:val="1"/>
          <w:numId w:val="84"/>
        </w:numPr>
      </w:pPr>
      <w:r>
        <w:t>D</w:t>
      </w:r>
      <w:r w:rsidR="001D1786" w:rsidRPr="001D1786">
        <w:t xml:space="preserve">atasets </w:t>
      </w:r>
      <w:r>
        <w:t xml:space="preserve">are </w:t>
      </w:r>
      <w:r w:rsidR="001D1786" w:rsidRPr="001D1786">
        <w:t>collected by more than one operator</w:t>
      </w:r>
      <w:r w:rsidR="6037624B">
        <w:t>.</w:t>
      </w:r>
      <w:r w:rsidR="001D1786" w:rsidRPr="001D1786">
        <w:t xml:space="preserve"> </w:t>
      </w:r>
    </w:p>
    <w:p w14:paraId="51C620E9" w14:textId="6C1700A8" w:rsidR="0085218C" w:rsidRDefault="000F687D" w:rsidP="00C75AA3">
      <w:pPr>
        <w:pStyle w:val="BodyText1"/>
        <w:numPr>
          <w:ilvl w:val="1"/>
          <w:numId w:val="84"/>
        </w:numPr>
      </w:pPr>
      <w:r>
        <w:t>M</w:t>
      </w:r>
      <w:r w:rsidR="001D1786" w:rsidRPr="001D1786">
        <w:t>ore than one sampling/analytical method is used</w:t>
      </w:r>
      <w:r w:rsidR="6037624B">
        <w:t>.</w:t>
      </w:r>
    </w:p>
    <w:p w14:paraId="5350A066" w14:textId="4C905116" w:rsidR="0085218C" w:rsidRDefault="000F687D" w:rsidP="00C75AA3">
      <w:pPr>
        <w:pStyle w:val="BodyText1"/>
        <w:numPr>
          <w:ilvl w:val="1"/>
          <w:numId w:val="84"/>
        </w:numPr>
      </w:pPr>
      <w:r>
        <w:t>D</w:t>
      </w:r>
      <w:r w:rsidR="001D1786" w:rsidRPr="001D1786">
        <w:t>atasets</w:t>
      </w:r>
      <w:r w:rsidR="001D1786" w:rsidRPr="001D1786" w:rsidDel="000F687D">
        <w:t xml:space="preserve"> </w:t>
      </w:r>
      <w:r w:rsidR="001D1786" w:rsidRPr="001D1786">
        <w:t>include extreme events</w:t>
      </w:r>
      <w:r w:rsidR="72A07B26">
        <w:t>.</w:t>
      </w:r>
    </w:p>
    <w:p w14:paraId="75AA4CFE" w14:textId="6B885F5D" w:rsidR="001D1786" w:rsidRPr="001D1786" w:rsidRDefault="000F687D" w:rsidP="00C75AA3">
      <w:pPr>
        <w:pStyle w:val="BodyText1"/>
        <w:numPr>
          <w:ilvl w:val="1"/>
          <w:numId w:val="84"/>
        </w:numPr>
      </w:pPr>
      <w:r>
        <w:t>D</w:t>
      </w:r>
      <w:r w:rsidR="001D1786" w:rsidRPr="001D1786">
        <w:t xml:space="preserve">atasets </w:t>
      </w:r>
      <w:r>
        <w:t xml:space="preserve">are </w:t>
      </w:r>
      <w:r w:rsidR="001D1786" w:rsidRPr="001D1786">
        <w:t xml:space="preserve">for locations that are influenced by multiple sources and/or pathways. </w:t>
      </w:r>
    </w:p>
    <w:p w14:paraId="2158AC1A" w14:textId="26F297AD" w:rsidR="001D1786" w:rsidRPr="001D1786" w:rsidRDefault="0085218C" w:rsidP="00C75AA3">
      <w:pPr>
        <w:pStyle w:val="BodyText1"/>
        <w:numPr>
          <w:ilvl w:val="0"/>
          <w:numId w:val="84"/>
        </w:numPr>
      </w:pPr>
      <w:r>
        <w:t>You should p</w:t>
      </w:r>
      <w:r w:rsidR="001D1786" w:rsidRPr="001D1786">
        <w:t xml:space="preserve">resent confidence intervals with calculated means to help support decision making. </w:t>
      </w:r>
    </w:p>
    <w:p w14:paraId="7D1A7433" w14:textId="18CD02F9" w:rsidR="00236B81" w:rsidRPr="001D1786" w:rsidRDefault="001D1786" w:rsidP="00C75AA3">
      <w:pPr>
        <w:pStyle w:val="BodyText1"/>
      </w:pPr>
      <w:r w:rsidRPr="001D1786">
        <w:t>When undertaking probabilistic predictive modelling</w:t>
      </w:r>
      <w:r w:rsidR="00037FBC" w:rsidRPr="00037FBC">
        <w:t xml:space="preserve"> </w:t>
      </w:r>
      <w:r w:rsidR="00037FBC">
        <w:t xml:space="preserve">use should use </w:t>
      </w:r>
      <w:r w:rsidR="00037FBC" w:rsidRPr="001D1786">
        <w:t xml:space="preserve">the 95%ile value </w:t>
      </w:r>
      <w:r w:rsidR="00037FBC">
        <w:t>to</w:t>
      </w:r>
      <w:r w:rsidR="00037FBC" w:rsidRPr="001D1786">
        <w:t xml:space="preserve"> compar</w:t>
      </w:r>
      <w:r w:rsidR="00037FBC">
        <w:t>e to the</w:t>
      </w:r>
      <w:r w:rsidR="00037FBC" w:rsidRPr="001D1786">
        <w:t xml:space="preserve"> relevant standard. </w:t>
      </w:r>
      <w:r w:rsidR="00037FBC">
        <w:t>T</w:t>
      </w:r>
      <w:r w:rsidRPr="001D1786">
        <w:t xml:space="preserve">he 50%ile value is not necessarily equivalent to the annual average. </w:t>
      </w:r>
    </w:p>
    <w:p w14:paraId="3DBF083C" w14:textId="0FB2386C" w:rsidR="00EC7D96" w:rsidRDefault="00A7245C" w:rsidP="005D1BC8">
      <w:pPr>
        <w:pStyle w:val="BodyText1"/>
      </w:pPr>
      <w:r>
        <w:t>You can use a</w:t>
      </w:r>
      <w:r w:rsidR="001D1786" w:rsidRPr="001D1786">
        <w:t xml:space="preserve">lternative statistical approaches </w:t>
      </w:r>
      <w:r>
        <w:t xml:space="preserve">if you </w:t>
      </w:r>
      <w:r w:rsidR="001D1786" w:rsidRPr="001D1786">
        <w:t>appropriately justif</w:t>
      </w:r>
      <w:r>
        <w:t>y them</w:t>
      </w:r>
      <w:r w:rsidR="001D1786" w:rsidRPr="001D1786">
        <w:t xml:space="preserve">. </w:t>
      </w:r>
    </w:p>
    <w:p w14:paraId="17555C74" w14:textId="3E1ABF5B" w:rsidR="0005472A" w:rsidRPr="00684F5A" w:rsidRDefault="003F11BB" w:rsidP="0005472A">
      <w:pPr>
        <w:pStyle w:val="Heading2"/>
        <w:rPr>
          <w:rFonts w:eastAsia="Times New Roman"/>
        </w:rPr>
      </w:pPr>
      <w:bookmarkStart w:id="51" w:name="_Toc193716166"/>
      <w:r>
        <w:rPr>
          <w:rFonts w:eastAsia="Times New Roman"/>
        </w:rPr>
        <w:t>A3.2</w:t>
      </w:r>
      <w:r>
        <w:rPr>
          <w:rFonts w:eastAsia="Times New Roman"/>
        </w:rPr>
        <w:tab/>
      </w:r>
      <w:r w:rsidR="00431E79">
        <w:rPr>
          <w:rFonts w:eastAsia="Times New Roman"/>
        </w:rPr>
        <w:t>Tier 1 Screening</w:t>
      </w:r>
      <w:bookmarkEnd w:id="51"/>
    </w:p>
    <w:p w14:paraId="5AA7D753" w14:textId="00DAABF3" w:rsidR="001954B8" w:rsidRPr="001954B8" w:rsidRDefault="0030454D" w:rsidP="00C75AA3">
      <w:pPr>
        <w:pStyle w:val="BodyText1"/>
      </w:pPr>
      <w:r>
        <w:t xml:space="preserve">To carry out a </w:t>
      </w:r>
      <w:r w:rsidR="001954B8" w:rsidRPr="001954B8">
        <w:t xml:space="preserve">Tier 1 assessment </w:t>
      </w:r>
      <w:r>
        <w:t>you should compare</w:t>
      </w:r>
      <w:r w:rsidR="001954B8" w:rsidRPr="001954B8">
        <w:t xml:space="preserve"> </w:t>
      </w:r>
      <w:r>
        <w:t>the</w:t>
      </w:r>
      <w:r w:rsidR="001954B8" w:rsidRPr="001954B8">
        <w:t xml:space="preserve"> concentrations within the source with the relevant Groundwater Standards.  </w:t>
      </w:r>
    </w:p>
    <w:p w14:paraId="38198F26" w14:textId="6A466E18" w:rsidR="001954B8" w:rsidRPr="001954B8" w:rsidRDefault="001954B8" w:rsidP="00C75AA3">
      <w:pPr>
        <w:pStyle w:val="BodyText1"/>
      </w:pPr>
      <w:r w:rsidRPr="001954B8">
        <w:t xml:space="preserve">If the source concentration does not exceed any of the relevant Groundwater Standards, then no further assessment is required.  </w:t>
      </w:r>
    </w:p>
    <w:p w14:paraId="5C0944F8" w14:textId="2AFA6C28" w:rsidR="001954B8" w:rsidRDefault="001954B8" w:rsidP="00C75AA3">
      <w:pPr>
        <w:pStyle w:val="BodyText1"/>
      </w:pPr>
      <w:r w:rsidRPr="001954B8">
        <w:t>If the source concentration does exceed the relevant standards</w:t>
      </w:r>
      <w:r w:rsidRPr="001954B8" w:rsidDel="0030454D">
        <w:t xml:space="preserve">, </w:t>
      </w:r>
      <w:r w:rsidR="0030454D">
        <w:t>you</w:t>
      </w:r>
      <w:r w:rsidRPr="001954B8">
        <w:t xml:space="preserve"> should proceed to Tier 2. </w:t>
      </w:r>
    </w:p>
    <w:p w14:paraId="6AA7B2FC" w14:textId="782B6E7D" w:rsidR="001954B8" w:rsidRPr="001954B8" w:rsidRDefault="008040BA" w:rsidP="00C75AA3">
      <w:pPr>
        <w:pStyle w:val="BodyText1"/>
      </w:pPr>
      <w:r>
        <w:t>As</w:t>
      </w:r>
      <w:r w:rsidR="001954B8" w:rsidRPr="001954B8" w:rsidDel="008040BA">
        <w:t xml:space="preserve"> it is </w:t>
      </w:r>
      <w:r w:rsidR="001954B8" w:rsidRPr="001954B8">
        <w:t xml:space="preserve">not usually possible to physically monitor the assessment point for the entry of </w:t>
      </w:r>
      <w:r w:rsidR="005A69B7">
        <w:t xml:space="preserve">groundwater </w:t>
      </w:r>
      <w:r w:rsidR="001954B8" w:rsidRPr="001954B8">
        <w:t xml:space="preserve">hazardous substances </w:t>
      </w:r>
      <w:r w:rsidR="00777C6D">
        <w:t>(</w:t>
      </w:r>
      <w:r w:rsidR="001954B8" w:rsidRPr="001954B8">
        <w:t>i.e. the base of the unsaturated zone</w:t>
      </w:r>
      <w:r w:rsidR="00777C6D">
        <w:t>)</w:t>
      </w:r>
      <w:r w:rsidR="001954B8" w:rsidRPr="001954B8">
        <w:t xml:space="preserve"> the Tier 1 screening should be based on predicted source zone concentrations (effluent concentrations, leachable concentrations in soil, or NAPL solubility)</w:t>
      </w:r>
      <w:r w:rsidR="00777C6D">
        <w:t xml:space="preserve"> for new activities</w:t>
      </w:r>
      <w:r w:rsidR="001954B8" w:rsidRPr="001954B8">
        <w:t xml:space="preserve">. For historical land contamination, </w:t>
      </w:r>
      <w:r w:rsidR="001D0950">
        <w:t xml:space="preserve">you can use </w:t>
      </w:r>
      <w:r w:rsidR="001954B8" w:rsidRPr="001954B8">
        <w:t xml:space="preserve">groundwater concentrations immediately adjacent to the source zone (either directly beneath and/or immediately downgradient) as a supporting line of evidence to help identify potential contaminants of concern </w:t>
      </w:r>
      <w:r w:rsidR="00114AD9">
        <w:t>requiring</w:t>
      </w:r>
      <w:r w:rsidR="00114AD9" w:rsidRPr="001954B8">
        <w:t xml:space="preserve"> </w:t>
      </w:r>
      <w:r w:rsidR="001954B8" w:rsidRPr="001954B8">
        <w:t xml:space="preserve">more detailed assessment. </w:t>
      </w:r>
    </w:p>
    <w:p w14:paraId="1943047E" w14:textId="6989B52C" w:rsidR="001954B8" w:rsidRPr="00684F5A" w:rsidRDefault="003F11BB" w:rsidP="001954B8">
      <w:pPr>
        <w:pStyle w:val="Heading2"/>
        <w:rPr>
          <w:rFonts w:eastAsia="Times New Roman"/>
        </w:rPr>
      </w:pPr>
      <w:bookmarkStart w:id="52" w:name="_A3.3_Tier_2"/>
      <w:bookmarkStart w:id="53" w:name="_Toc193716167"/>
      <w:bookmarkEnd w:id="52"/>
      <w:r>
        <w:rPr>
          <w:rFonts w:eastAsia="Times New Roman"/>
        </w:rPr>
        <w:lastRenderedPageBreak/>
        <w:t>A3.3</w:t>
      </w:r>
      <w:r>
        <w:rPr>
          <w:rFonts w:eastAsia="Times New Roman"/>
        </w:rPr>
        <w:tab/>
      </w:r>
      <w:r w:rsidR="001954B8">
        <w:rPr>
          <w:rFonts w:eastAsia="Times New Roman"/>
        </w:rPr>
        <w:t xml:space="preserve">Tier 2 </w:t>
      </w:r>
      <w:r w:rsidR="003A0DA0">
        <w:rPr>
          <w:rFonts w:eastAsia="Times New Roman"/>
        </w:rPr>
        <w:t>QRA dilution only</w:t>
      </w:r>
      <w:bookmarkEnd w:id="53"/>
    </w:p>
    <w:p w14:paraId="590974C0" w14:textId="02F4D0EF" w:rsidR="00273690" w:rsidRDefault="00D96E5C" w:rsidP="00C75AA3">
      <w:pPr>
        <w:pStyle w:val="BodyText1"/>
      </w:pPr>
      <w:r>
        <w:t xml:space="preserve">To carry out a </w:t>
      </w:r>
      <w:r w:rsidR="00273690" w:rsidRPr="00273690">
        <w:t xml:space="preserve">Tier 2 assessment </w:t>
      </w:r>
      <w:r>
        <w:t xml:space="preserve">you </w:t>
      </w:r>
      <w:r w:rsidR="00C443D9">
        <w:t xml:space="preserve">need to undertake a </w:t>
      </w:r>
      <w:r w:rsidR="00273690" w:rsidRPr="00273690">
        <w:t xml:space="preserve">quantitative risk assessment (QRA) to determine whether dilution is sufficient to prevent the standards being exceeded.  This requires comparison of input loading rates with the hydrogeological regime to assess potential dilution.  </w:t>
      </w:r>
    </w:p>
    <w:p w14:paraId="5AD0D545" w14:textId="4C6D87D0" w:rsidR="00273690" w:rsidRPr="00273690" w:rsidRDefault="00273690" w:rsidP="00C75AA3">
      <w:pPr>
        <w:pStyle w:val="BodyText1"/>
      </w:pPr>
      <w:r w:rsidRPr="00273690">
        <w:t xml:space="preserve">The methodology </w:t>
      </w:r>
      <w:r w:rsidR="00C443D9">
        <w:t xml:space="preserve">you should use </w:t>
      </w:r>
      <w:r w:rsidRPr="00273690">
        <w:t xml:space="preserve">for the assessment of dilution varies depending on the receptor being assessed. This section sets out the recommended approach for each type of receptor. </w:t>
      </w:r>
    </w:p>
    <w:p w14:paraId="52D3F862" w14:textId="701CFB78" w:rsidR="00273690" w:rsidRDefault="00273690" w:rsidP="00C75AA3">
      <w:pPr>
        <w:pStyle w:val="BodyText1"/>
      </w:pPr>
      <w:r w:rsidRPr="00273690">
        <w:t xml:space="preserve">If the Tier 2 assessment indicates that there is potential for the relevant standard to be exceeded, either currently or in the future, even after dilution, then </w:t>
      </w:r>
      <w:r w:rsidR="00365ED9">
        <w:t>you</w:t>
      </w:r>
      <w:r w:rsidRPr="00273690">
        <w:t xml:space="preserve"> should progress to Tier 3.  </w:t>
      </w:r>
    </w:p>
    <w:p w14:paraId="16374BE9" w14:textId="75465C03" w:rsidR="00273690" w:rsidRPr="00684F5A" w:rsidRDefault="003F11BB" w:rsidP="00273690">
      <w:pPr>
        <w:pStyle w:val="Heading3"/>
        <w:rPr>
          <w:rFonts w:eastAsia="Times New Roman"/>
        </w:rPr>
      </w:pPr>
      <w:bookmarkStart w:id="54" w:name="_Toc193716168"/>
      <w:r>
        <w:rPr>
          <w:rFonts w:eastAsia="Times New Roman"/>
        </w:rPr>
        <w:t>A3.3.1</w:t>
      </w:r>
      <w:r>
        <w:rPr>
          <w:rFonts w:eastAsia="Times New Roman"/>
        </w:rPr>
        <w:tab/>
      </w:r>
      <w:r w:rsidR="00273690">
        <w:rPr>
          <w:rFonts w:eastAsia="Times New Roman"/>
        </w:rPr>
        <w:t>Input loading</w:t>
      </w:r>
      <w:bookmarkEnd w:id="54"/>
      <w:r w:rsidR="00BA1363">
        <w:rPr>
          <w:rFonts w:eastAsia="Times New Roman"/>
        </w:rPr>
        <w:t xml:space="preserve"> </w:t>
      </w:r>
    </w:p>
    <w:p w14:paraId="6FAB46AE" w14:textId="4045BFDA" w:rsidR="00E05F56" w:rsidRDefault="00E70B83" w:rsidP="00C75AA3">
      <w:pPr>
        <w:pStyle w:val="BodyText1"/>
      </w:pPr>
      <w:r>
        <w:t>You should calculate t</w:t>
      </w:r>
      <w:r w:rsidR="00E05F56">
        <w:t xml:space="preserve">he load of contamination being added to groundwater per day from the source. This requires consideration of the nature and geometry of the source and the rate at which substances will enter groundwater.  </w:t>
      </w:r>
    </w:p>
    <w:p w14:paraId="18C37BF2" w14:textId="77777777" w:rsidR="00E05F56" w:rsidRDefault="00E05F56" w:rsidP="00C75AA3">
      <w:pPr>
        <w:pStyle w:val="BodyText1"/>
      </w:pPr>
      <w:r>
        <w:t xml:space="preserve">The geometry of the source area should be based on the spatial extent of: </w:t>
      </w:r>
    </w:p>
    <w:p w14:paraId="1E76BAC6" w14:textId="4EDDF3A6" w:rsidR="00E05F56" w:rsidRDefault="00E05F56" w:rsidP="00C75AA3">
      <w:pPr>
        <w:pStyle w:val="BodyText1"/>
        <w:numPr>
          <w:ilvl w:val="0"/>
          <w:numId w:val="85"/>
        </w:numPr>
      </w:pPr>
      <w:r>
        <w:t>Active discharge to ground</w:t>
      </w:r>
      <w:r w:rsidR="00E70B83">
        <w:t>.</w:t>
      </w:r>
      <w:r>
        <w:t xml:space="preserve"> </w:t>
      </w:r>
    </w:p>
    <w:p w14:paraId="4BE7F8D3" w14:textId="33D8FEE6" w:rsidR="00E05F56" w:rsidRDefault="00E05F56" w:rsidP="00C75AA3">
      <w:pPr>
        <w:pStyle w:val="BodyText1"/>
        <w:numPr>
          <w:ilvl w:val="0"/>
          <w:numId w:val="85"/>
        </w:numPr>
      </w:pPr>
      <w:r>
        <w:t>Leachable substances in soils or wastes</w:t>
      </w:r>
      <w:r w:rsidR="00B03CB4">
        <w:t>.</w:t>
      </w:r>
      <w:r>
        <w:t xml:space="preserve"> </w:t>
      </w:r>
    </w:p>
    <w:p w14:paraId="1D4187A7" w14:textId="77777777" w:rsidR="00E05F56" w:rsidRDefault="00E05F56" w:rsidP="00C75AA3">
      <w:pPr>
        <w:pStyle w:val="BodyText1"/>
        <w:numPr>
          <w:ilvl w:val="0"/>
          <w:numId w:val="85"/>
        </w:numPr>
      </w:pPr>
      <w:r>
        <w:t xml:space="preserve">Non-aqueous phase liquid (NAPL). </w:t>
      </w:r>
    </w:p>
    <w:p w14:paraId="75FDD2B4" w14:textId="34BCB03A" w:rsidR="00E05F56" w:rsidRDefault="00E05F56" w:rsidP="00C75AA3">
      <w:pPr>
        <w:pStyle w:val="BodyText1"/>
      </w:pPr>
      <w:r>
        <w:t xml:space="preserve">The nature of the source will influence how the loading rate to groundwater (concentration multiplied by flow rate) should be estimated. </w:t>
      </w:r>
      <w:r w:rsidR="005D7490">
        <w:t xml:space="preserve">You can use </w:t>
      </w:r>
      <w:r>
        <w:t xml:space="preserve">Table 3 </w:t>
      </w:r>
      <w:r w:rsidR="00AC7E52">
        <w:t xml:space="preserve">to help you calculate this </w:t>
      </w:r>
      <w:r>
        <w:t xml:space="preserve">but </w:t>
      </w:r>
      <w:r w:rsidR="00AC7E52">
        <w:t xml:space="preserve">you can use </w:t>
      </w:r>
      <w:r>
        <w:t xml:space="preserve">alternative methods </w:t>
      </w:r>
      <w:r w:rsidR="00AC7E52">
        <w:t>if you</w:t>
      </w:r>
      <w:r>
        <w:t xml:space="preserve"> can appropriately justif</w:t>
      </w:r>
      <w:r w:rsidR="3AD02FC4">
        <w:t>y</w:t>
      </w:r>
      <w:r w:rsidR="00AC7E52">
        <w:t xml:space="preserve"> them</w:t>
      </w:r>
      <w:r>
        <w:t xml:space="preserve">. </w:t>
      </w:r>
      <w:r w:rsidR="00AC7E52">
        <w:t>You should consider b</w:t>
      </w:r>
      <w:r>
        <w:t xml:space="preserve">oth source concentration and flow rate as annual averages, except for abstractions for human consumption where maximum values should be used. </w:t>
      </w:r>
    </w:p>
    <w:p w14:paraId="677A2D65" w14:textId="2875C6C3" w:rsidR="00F0233E" w:rsidRDefault="00E05F56" w:rsidP="00365ED9">
      <w:pPr>
        <w:pStyle w:val="BodyText1"/>
      </w:pPr>
      <w:r w:rsidRPr="00766637">
        <w:t xml:space="preserve">If a source zone straddles the water table, </w:t>
      </w:r>
      <w:r w:rsidR="0010413A">
        <w:t xml:space="preserve">then you should estimate </w:t>
      </w:r>
      <w:r w:rsidRPr="00766637">
        <w:t xml:space="preserve">the cumulative input </w:t>
      </w:r>
      <w:r>
        <w:t>in</w:t>
      </w:r>
      <w:r w:rsidRPr="00766637">
        <w:t>to groundwater. This will require consideration as to</w:t>
      </w:r>
      <w:r w:rsidR="00F0233E">
        <w:t>:</w:t>
      </w:r>
      <w:r w:rsidRPr="00766637">
        <w:t xml:space="preserve"> </w:t>
      </w:r>
    </w:p>
    <w:p w14:paraId="2C7E0797" w14:textId="4956E57B" w:rsidR="00F0233E" w:rsidRDefault="00F0233E" w:rsidP="00C75AA3">
      <w:pPr>
        <w:pStyle w:val="BodyText1"/>
        <w:numPr>
          <w:ilvl w:val="0"/>
          <w:numId w:val="86"/>
        </w:numPr>
      </w:pPr>
      <w:r>
        <w:lastRenderedPageBreak/>
        <w:t>A</w:t>
      </w:r>
      <w:r w:rsidR="00E05F56" w:rsidRPr="00766637">
        <w:t>ny seasonal, tidal or other fluctuation in groundwater levels</w:t>
      </w:r>
      <w:r>
        <w:t>.</w:t>
      </w:r>
    </w:p>
    <w:p w14:paraId="3D52601F" w14:textId="25AE73D4" w:rsidR="00F0233E" w:rsidRDefault="00F0233E" w:rsidP="00C75AA3">
      <w:pPr>
        <w:pStyle w:val="BodyText1"/>
        <w:numPr>
          <w:ilvl w:val="0"/>
          <w:numId w:val="86"/>
        </w:numPr>
      </w:pPr>
      <w:r>
        <w:t>T</w:t>
      </w:r>
      <w:r w:rsidR="00E05F56" w:rsidRPr="00766637">
        <w:t>he consequent relative proportion of the source above and below the water table</w:t>
      </w:r>
      <w:r>
        <w:t>.</w:t>
      </w:r>
    </w:p>
    <w:p w14:paraId="09F01EF0" w14:textId="479C7565" w:rsidR="00F0233E" w:rsidRDefault="00F0233E" w:rsidP="00C75AA3">
      <w:pPr>
        <w:pStyle w:val="BodyText1"/>
        <w:numPr>
          <w:ilvl w:val="0"/>
          <w:numId w:val="86"/>
        </w:numPr>
      </w:pPr>
      <w:r>
        <w:t>T</w:t>
      </w:r>
      <w:r w:rsidR="00E05F56" w:rsidRPr="00766637">
        <w:t>he potential for the source geometry to change over time</w:t>
      </w:r>
      <w:r>
        <w:t>.</w:t>
      </w:r>
      <w:r w:rsidR="00E05F56" w:rsidRPr="00766637">
        <w:t xml:space="preserve"> </w:t>
      </w:r>
    </w:p>
    <w:p w14:paraId="0DB2F836" w14:textId="58507BCE" w:rsidR="00F0233E" w:rsidRDefault="00F0233E" w:rsidP="00C75AA3">
      <w:pPr>
        <w:pStyle w:val="BodyText1"/>
        <w:numPr>
          <w:ilvl w:val="0"/>
          <w:numId w:val="86"/>
        </w:numPr>
      </w:pPr>
      <w:r>
        <w:t>T</w:t>
      </w:r>
      <w:r w:rsidR="00E05F56" w:rsidRPr="00766637">
        <w:t xml:space="preserve">he potential for mobility of contaminants to vary. </w:t>
      </w:r>
    </w:p>
    <w:p w14:paraId="6CBC8392" w14:textId="541145D2" w:rsidR="00E91B27" w:rsidRPr="00764151" w:rsidRDefault="002525B8" w:rsidP="00E91B27">
      <w:pPr>
        <w:pStyle w:val="BodyText1"/>
      </w:pPr>
      <w:r>
        <w:t xml:space="preserve">If you want to </w:t>
      </w:r>
      <w:r w:rsidR="00741315">
        <w:t>derive a</w:t>
      </w:r>
      <w:r w:rsidR="00E05F56" w:rsidRPr="00766637">
        <w:t xml:space="preserve"> conservative </w:t>
      </w:r>
      <w:r w:rsidR="00741315">
        <w:t xml:space="preserve">loading value you can add </w:t>
      </w:r>
      <w:r w:rsidR="00E05F56" w:rsidRPr="00766637" w:rsidDel="00741315">
        <w:t>the</w:t>
      </w:r>
      <w:r w:rsidR="00E05F56" w:rsidRPr="00766637">
        <w:t xml:space="preserve"> estimated loading above and below the water table. However, in some circumstances this may be overly conservative and  </w:t>
      </w:r>
      <w:r w:rsidR="00741315">
        <w:t xml:space="preserve">you may wish to undertake </w:t>
      </w:r>
      <w:r w:rsidR="00E05F56" w:rsidRPr="00766637">
        <w:t xml:space="preserve">more detailed consideration of cumulative loading. </w:t>
      </w:r>
    </w:p>
    <w:p w14:paraId="181FC78E" w14:textId="558C5A31" w:rsidR="00273690" w:rsidRPr="00C75AA3" w:rsidRDefault="00E91B27" w:rsidP="00C75AA3">
      <w:pPr>
        <w:pStyle w:val="BodyText1"/>
        <w:rPr>
          <w:rFonts w:eastAsia="Times New Roman"/>
          <w:b/>
        </w:rPr>
      </w:pPr>
      <w:r w:rsidRPr="005512C6">
        <w:rPr>
          <w:rFonts w:eastAsia="Times New Roman"/>
          <w:b/>
        </w:rPr>
        <w:t xml:space="preserve">Table </w:t>
      </w:r>
      <w:r w:rsidR="005512C6" w:rsidRPr="005512C6">
        <w:rPr>
          <w:rFonts w:eastAsia="Times New Roman"/>
          <w:b/>
        </w:rPr>
        <w:t>4</w:t>
      </w:r>
      <w:r w:rsidRPr="005512C6">
        <w:rPr>
          <w:rFonts w:eastAsia="Times New Roman"/>
          <w:b/>
        </w:rPr>
        <w:t xml:space="preserve">: </w:t>
      </w:r>
      <w:r w:rsidR="00741315" w:rsidRPr="005512C6">
        <w:rPr>
          <w:rFonts w:eastAsia="Times New Roman"/>
          <w:b/>
          <w:bCs/>
        </w:rPr>
        <w:t>Suggested</w:t>
      </w:r>
      <w:r w:rsidR="00741315">
        <w:rPr>
          <w:rFonts w:eastAsia="Times New Roman"/>
          <w:b/>
          <w:bCs/>
        </w:rPr>
        <w:t xml:space="preserve"> approach for </w:t>
      </w:r>
      <w:r w:rsidR="005512C6">
        <w:rPr>
          <w:rFonts w:eastAsia="Times New Roman"/>
          <w:b/>
          <w:bCs/>
        </w:rPr>
        <w:t xml:space="preserve">the </w:t>
      </w:r>
      <w:r w:rsidR="00741315">
        <w:rPr>
          <w:rFonts w:eastAsia="Times New Roman"/>
          <w:b/>
          <w:bCs/>
        </w:rPr>
        <w:t>estimation of source input loading rates</w:t>
      </w:r>
    </w:p>
    <w:tbl>
      <w:tblPr>
        <w:tblW w:w="5000" w:type="pct"/>
        <w:tblCellMar>
          <w:left w:w="0" w:type="dxa"/>
          <w:right w:w="0" w:type="dxa"/>
        </w:tblCellMar>
        <w:tblLook w:val="04A0" w:firstRow="1" w:lastRow="0" w:firstColumn="1" w:lastColumn="0" w:noHBand="0" w:noVBand="1"/>
        <w:tblCaption w:val="Table 4: Suggested approach for the estimation of source input loading rates "/>
        <w:tblDescription w:val="This table gives guidance on the concentration and flow rates you can use to calculate the source input loading rate for different source types. "/>
      </w:tblPr>
      <w:tblGrid>
        <w:gridCol w:w="1779"/>
        <w:gridCol w:w="3248"/>
        <w:gridCol w:w="5175"/>
      </w:tblGrid>
      <w:tr w:rsidR="00B458C1" w:rsidRPr="00684F5A" w14:paraId="762397FD" w14:textId="77777777" w:rsidTr="00133573">
        <w:trPr>
          <w:cantSplit/>
          <w:trHeight w:val="610"/>
          <w:tblHeader/>
        </w:trPr>
        <w:tc>
          <w:tcPr>
            <w:tcW w:w="87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31D42BA3" w14:textId="34E1621D" w:rsidR="004A5426" w:rsidRPr="00684F5A" w:rsidRDefault="004A5426">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Source Type</w:t>
            </w:r>
          </w:p>
        </w:tc>
        <w:tc>
          <w:tcPr>
            <w:tcW w:w="159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39AD39F" w14:textId="2ECEAA46" w:rsidR="004A5426" w:rsidRPr="00684F5A" w:rsidRDefault="002D3B6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w:t>
            </w:r>
            <w:r w:rsidR="004A5426">
              <w:rPr>
                <w:rFonts w:ascii="Arial" w:eastAsia="Times New Roman" w:hAnsi="Arial" w:cs="Arial"/>
                <w:b/>
                <w:bCs/>
                <w:color w:val="FFFFFF"/>
                <w:lang w:eastAsia="en-GB"/>
              </w:rPr>
              <w:t>oncentration</w:t>
            </w:r>
          </w:p>
        </w:tc>
        <w:tc>
          <w:tcPr>
            <w:tcW w:w="253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913C2C4" w14:textId="3901210C" w:rsidR="004A5426" w:rsidRPr="00684F5A" w:rsidRDefault="002D3B6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Flow Rate</w:t>
            </w:r>
          </w:p>
        </w:tc>
      </w:tr>
      <w:tr w:rsidR="00B458C1" w:rsidRPr="00684F5A" w14:paraId="5B76C13D" w14:textId="77777777" w:rsidTr="00133573">
        <w:trPr>
          <w:cantSplit/>
          <w:trHeight w:val="315"/>
          <w:tblHeader/>
        </w:trPr>
        <w:tc>
          <w:tcPr>
            <w:tcW w:w="87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E8ACD5B" w14:textId="12309301" w:rsidR="004A5426" w:rsidRPr="00684F5A" w:rsidRDefault="00485DC1" w:rsidP="00C75AA3">
            <w:pPr>
              <w:pStyle w:val="BodyText1"/>
              <w:rPr>
                <w:rFonts w:eastAsia="Times New Roman"/>
                <w:lang w:eastAsia="en-GB"/>
              </w:rPr>
            </w:pPr>
            <w:r>
              <w:rPr>
                <w:rFonts w:eastAsia="Times New Roman"/>
                <w:lang w:eastAsia="en-GB"/>
              </w:rPr>
              <w:t>Active dis</w:t>
            </w:r>
            <w:r w:rsidR="00AB4F5E">
              <w:rPr>
                <w:rFonts w:eastAsia="Times New Roman"/>
                <w:lang w:eastAsia="en-GB"/>
              </w:rPr>
              <w:t>charge to ground</w:t>
            </w:r>
          </w:p>
        </w:tc>
        <w:tc>
          <w:tcPr>
            <w:tcW w:w="159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DF4ED0E" w14:textId="359A7A90" w:rsidR="004A5426" w:rsidRPr="00684F5A" w:rsidRDefault="00B458C1" w:rsidP="00C75AA3">
            <w:pPr>
              <w:pStyle w:val="BodyText1"/>
              <w:rPr>
                <w:rFonts w:eastAsia="Times New Roman"/>
                <w:lang w:eastAsia="en-GB"/>
              </w:rPr>
            </w:pPr>
            <w:r>
              <w:rPr>
                <w:rFonts w:eastAsia="Times New Roman"/>
                <w:lang w:eastAsia="en-GB"/>
              </w:rPr>
              <w:t>Effluent concentration (measures or calculated</w:t>
            </w:r>
          </w:p>
        </w:tc>
        <w:tc>
          <w:tcPr>
            <w:tcW w:w="253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4D99D5C" w14:textId="1B9F48CF" w:rsidR="004A5426" w:rsidRPr="00684F5A" w:rsidRDefault="00B458C1" w:rsidP="00C75AA3">
            <w:pPr>
              <w:pStyle w:val="BodyText1"/>
              <w:rPr>
                <w:rFonts w:eastAsia="Times New Roman"/>
                <w:lang w:eastAsia="en-GB"/>
              </w:rPr>
            </w:pPr>
            <w:r>
              <w:rPr>
                <w:rFonts w:eastAsia="Times New Roman"/>
                <w:lang w:eastAsia="en-GB"/>
              </w:rPr>
              <w:t>Discharge rate</w:t>
            </w:r>
          </w:p>
        </w:tc>
      </w:tr>
      <w:tr w:rsidR="00B458C1" w:rsidRPr="00684F5A" w14:paraId="5C4B7C22" w14:textId="77777777" w:rsidTr="00133573">
        <w:trPr>
          <w:cantSplit/>
          <w:trHeight w:val="300"/>
          <w:tblHeader/>
        </w:trPr>
        <w:tc>
          <w:tcPr>
            <w:tcW w:w="87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5E033DF" w14:textId="22DCD5E5" w:rsidR="004A5426" w:rsidRPr="00684F5A" w:rsidRDefault="00AB4F5E" w:rsidP="00C75AA3">
            <w:pPr>
              <w:pStyle w:val="BodyText1"/>
              <w:rPr>
                <w:rFonts w:eastAsia="Times New Roman"/>
                <w:lang w:eastAsia="en-GB"/>
              </w:rPr>
            </w:pPr>
            <w:r>
              <w:rPr>
                <w:rFonts w:eastAsia="Times New Roman"/>
                <w:lang w:eastAsia="en-GB"/>
              </w:rPr>
              <w:t>Leachable soils or wastes</w:t>
            </w:r>
          </w:p>
        </w:tc>
        <w:tc>
          <w:tcPr>
            <w:tcW w:w="159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532F5BD" w14:textId="522EDEFF" w:rsidR="004A5426" w:rsidRPr="00684F5A" w:rsidRDefault="00932032" w:rsidP="00C75AA3">
            <w:pPr>
              <w:pStyle w:val="BodyText1"/>
              <w:rPr>
                <w:rFonts w:eastAsia="Times New Roman"/>
                <w:lang w:eastAsia="en-GB"/>
              </w:rPr>
            </w:pPr>
            <w:r>
              <w:rPr>
                <w:rFonts w:eastAsia="Times New Roman"/>
                <w:lang w:eastAsia="en-GB"/>
              </w:rPr>
              <w:t xml:space="preserve">Leachable concentration </w:t>
            </w:r>
            <w:r w:rsidR="00EB75A8">
              <w:rPr>
                <w:rFonts w:eastAsia="Times New Roman"/>
                <w:lang w:eastAsia="en-GB"/>
              </w:rPr>
              <w:t>(measure</w:t>
            </w:r>
            <w:r w:rsidR="00CD1459">
              <w:rPr>
                <w:rFonts w:eastAsia="Times New Roman"/>
                <w:lang w:eastAsia="en-GB"/>
              </w:rPr>
              <w:t>d</w:t>
            </w:r>
            <w:r w:rsidR="00CD1459">
              <w:rPr>
                <w:rStyle w:val="FootnoteReference"/>
                <w:rFonts w:ascii="Arial" w:eastAsia="Times New Roman" w:hAnsi="Arial" w:cs="Arial"/>
                <w:lang w:eastAsia="en-GB"/>
              </w:rPr>
              <w:footnoteReference w:id="18"/>
            </w:r>
            <w:r w:rsidR="00EB75A8">
              <w:rPr>
                <w:rFonts w:eastAsia="Times New Roman"/>
                <w:lang w:eastAsia="en-GB"/>
              </w:rPr>
              <w:t xml:space="preserve"> or calculated) </w:t>
            </w:r>
          </w:p>
        </w:tc>
        <w:tc>
          <w:tcPr>
            <w:tcW w:w="253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9B8EFC7" w14:textId="77777777" w:rsidR="004A5426" w:rsidRDefault="00B458C1" w:rsidP="00C75AA3">
            <w:pPr>
              <w:pStyle w:val="BodyText1"/>
              <w:rPr>
                <w:rFonts w:eastAsia="Times New Roman"/>
                <w:lang w:eastAsia="en-GB"/>
              </w:rPr>
            </w:pPr>
            <w:r>
              <w:rPr>
                <w:rFonts w:eastAsia="Times New Roman"/>
                <w:lang w:eastAsia="en-GB"/>
              </w:rPr>
              <w:t xml:space="preserve">Recharge rates multiplied by source areas for sources located above the water table. </w:t>
            </w:r>
          </w:p>
          <w:p w14:paraId="40A385A9" w14:textId="004544DE" w:rsidR="00932032" w:rsidRPr="00684F5A" w:rsidRDefault="00932032" w:rsidP="00C75AA3">
            <w:pPr>
              <w:pStyle w:val="BodyText1"/>
              <w:rPr>
                <w:rFonts w:eastAsia="Times New Roman"/>
                <w:lang w:eastAsia="en-GB"/>
              </w:rPr>
            </w:pPr>
            <w:r>
              <w:rPr>
                <w:rFonts w:eastAsia="Times New Roman"/>
                <w:lang w:eastAsia="en-GB"/>
              </w:rPr>
              <w:t xml:space="preserve">Groundwater flux passing though source for sources located below the water table. </w:t>
            </w:r>
          </w:p>
        </w:tc>
      </w:tr>
      <w:tr w:rsidR="00B458C1" w:rsidRPr="00684F5A" w14:paraId="5D8C912B" w14:textId="77777777" w:rsidTr="00133573">
        <w:trPr>
          <w:cantSplit/>
          <w:trHeight w:val="300"/>
          <w:tblHeader/>
        </w:trPr>
        <w:tc>
          <w:tcPr>
            <w:tcW w:w="87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6E61917" w14:textId="40936CA4" w:rsidR="004A5426" w:rsidRPr="00684F5A" w:rsidRDefault="00AB4F5E" w:rsidP="00C75AA3">
            <w:pPr>
              <w:pStyle w:val="BodyText1"/>
              <w:rPr>
                <w:rFonts w:eastAsia="Times New Roman"/>
                <w:lang w:eastAsia="en-GB"/>
              </w:rPr>
            </w:pPr>
            <w:r>
              <w:rPr>
                <w:rFonts w:eastAsia="Times New Roman"/>
                <w:lang w:eastAsia="en-GB"/>
              </w:rPr>
              <w:t>NAPL</w:t>
            </w:r>
          </w:p>
        </w:tc>
        <w:tc>
          <w:tcPr>
            <w:tcW w:w="159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45D610B" w14:textId="24AA7B4A" w:rsidR="004A5426" w:rsidRPr="00684F5A" w:rsidRDefault="00CD1459" w:rsidP="00C75AA3">
            <w:pPr>
              <w:pStyle w:val="BodyText1"/>
              <w:rPr>
                <w:rFonts w:eastAsia="Times New Roman"/>
                <w:lang w:eastAsia="en-GB"/>
              </w:rPr>
            </w:pPr>
            <w:r>
              <w:rPr>
                <w:rFonts w:eastAsia="Times New Roman"/>
                <w:lang w:eastAsia="en-GB"/>
              </w:rPr>
              <w:t>Solubility limit</w:t>
            </w:r>
            <w:r w:rsidR="0072791D">
              <w:rPr>
                <w:rStyle w:val="FootnoteReference"/>
                <w:rFonts w:ascii="Arial" w:eastAsia="Times New Roman" w:hAnsi="Arial" w:cs="Arial"/>
                <w:lang w:eastAsia="en-GB"/>
              </w:rPr>
              <w:footnoteReference w:id="19"/>
            </w:r>
          </w:p>
        </w:tc>
        <w:tc>
          <w:tcPr>
            <w:tcW w:w="253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9B9EA35" w14:textId="77777777" w:rsidR="004A5426" w:rsidRDefault="006931F0" w:rsidP="00C75AA3">
            <w:pPr>
              <w:pStyle w:val="BodyText1"/>
              <w:rPr>
                <w:rFonts w:eastAsia="Times New Roman"/>
                <w:lang w:eastAsia="en-GB"/>
              </w:rPr>
            </w:pPr>
            <w:r>
              <w:rPr>
                <w:rFonts w:eastAsia="Times New Roman"/>
                <w:lang w:eastAsia="en-GB"/>
              </w:rPr>
              <w:t>Recharge rates multiplied by source area for NAPL located above the water table.</w:t>
            </w:r>
          </w:p>
          <w:p w14:paraId="25A8F35A" w14:textId="64D5B3B0" w:rsidR="006931F0" w:rsidRPr="00684F5A" w:rsidRDefault="006931F0" w:rsidP="00C75AA3">
            <w:pPr>
              <w:pStyle w:val="BodyText1"/>
              <w:rPr>
                <w:rFonts w:eastAsia="Times New Roman"/>
                <w:lang w:eastAsia="en-GB"/>
              </w:rPr>
            </w:pPr>
            <w:r>
              <w:rPr>
                <w:rFonts w:eastAsia="Times New Roman"/>
                <w:lang w:eastAsia="en-GB"/>
              </w:rPr>
              <w:t xml:space="preserve">Groundwater flux passing </w:t>
            </w:r>
            <w:r w:rsidR="00466262">
              <w:rPr>
                <w:rFonts w:eastAsia="Times New Roman"/>
                <w:lang w:eastAsia="en-GB"/>
              </w:rPr>
              <w:t xml:space="preserve">NAPL located at or below the water table. </w:t>
            </w:r>
          </w:p>
        </w:tc>
      </w:tr>
    </w:tbl>
    <w:p w14:paraId="67B09CFA" w14:textId="77777777" w:rsidR="00D33F52" w:rsidRDefault="00D33F52" w:rsidP="00273690">
      <w:pPr>
        <w:ind w:left="-6" w:right="11"/>
        <w:rPr>
          <w:rFonts w:ascii="Arial" w:hAnsi="Arial" w:cs="Arial"/>
        </w:rPr>
      </w:pPr>
    </w:p>
    <w:p w14:paraId="01BF6C47" w14:textId="0B50AF43" w:rsidR="00D33F52" w:rsidRPr="00766637" w:rsidRDefault="000A5B46" w:rsidP="001A157A">
      <w:pPr>
        <w:pStyle w:val="BodyText1"/>
      </w:pPr>
      <w:r>
        <w:t>If the</w:t>
      </w:r>
      <w:r w:rsidR="00D33F52" w:rsidRPr="00766637">
        <w:t xml:space="preserve"> source zone</w:t>
      </w:r>
      <w:r w:rsidR="00D33F52" w:rsidRPr="00766637" w:rsidDel="000A5B46">
        <w:t xml:space="preserve"> </w:t>
      </w:r>
      <w:r w:rsidR="00D33F52" w:rsidRPr="00766637">
        <w:t>straddle</w:t>
      </w:r>
      <w:r>
        <w:t>s</w:t>
      </w:r>
      <w:r w:rsidR="00D33F52" w:rsidRPr="00766637">
        <w:t xml:space="preserve"> more than one hydrogeological unit, either vertically or laterally, </w:t>
      </w:r>
      <w:r>
        <w:t xml:space="preserve">you </w:t>
      </w:r>
      <w:r w:rsidR="009A2BF5">
        <w:t xml:space="preserve">should </w:t>
      </w:r>
      <w:r w:rsidR="00D33F52" w:rsidRPr="00766637">
        <w:t>estimat</w:t>
      </w:r>
      <w:r w:rsidR="009A2BF5">
        <w:t>e</w:t>
      </w:r>
      <w:r w:rsidR="00D33F52" w:rsidRPr="00766637">
        <w:t xml:space="preserve"> the proportional loading into each hydrogeological unit. </w:t>
      </w:r>
      <w:r w:rsidR="001376A7">
        <w:t>You will need to con</w:t>
      </w:r>
      <w:r w:rsidR="00691C32">
        <w:t>si</w:t>
      </w:r>
      <w:r w:rsidR="001376A7">
        <w:t>der</w:t>
      </w:r>
      <w:r w:rsidR="00D33F52" w:rsidRPr="00766637">
        <w:t xml:space="preserve"> the relative proportion of the source within each unit, the potential for the source geometry to change over time, and the potential for mobility of contaminants to vary between hydrogeological units.</w:t>
      </w:r>
    </w:p>
    <w:p w14:paraId="3171F97F" w14:textId="5E3B8173" w:rsidR="00D33F52" w:rsidRPr="00766637" w:rsidRDefault="001376A7" w:rsidP="001A157A">
      <w:pPr>
        <w:pStyle w:val="BodyText1"/>
      </w:pPr>
      <w:r>
        <w:t>You must take into account t</w:t>
      </w:r>
      <w:r w:rsidR="00D33F52" w:rsidRPr="00766637">
        <w:t>he presence of preferential pathways for contaminant migration</w:t>
      </w:r>
      <w:r w:rsidR="00D33F52">
        <w:t>,</w:t>
      </w:r>
      <w:r w:rsidR="00D33F52" w:rsidRPr="00766637">
        <w:t xml:space="preserve"> such as mine workings or service runs</w:t>
      </w:r>
      <w:r>
        <w:t xml:space="preserve"> </w:t>
      </w:r>
      <w:r w:rsidR="00D33F52" w:rsidRPr="00766637">
        <w:t>if appropriate</w:t>
      </w:r>
      <w:r w:rsidR="00D33F52">
        <w:t>,</w:t>
      </w:r>
      <w:r w:rsidR="00D33F52" w:rsidRPr="00766637">
        <w:t xml:space="preserve"> during source input loading estimation. </w:t>
      </w:r>
    </w:p>
    <w:p w14:paraId="70225F1E" w14:textId="7AC733E5" w:rsidR="00D33F52" w:rsidRDefault="0043515D" w:rsidP="00EB482E">
      <w:pPr>
        <w:pStyle w:val="BodyText1"/>
      </w:pPr>
      <w:r>
        <w:t xml:space="preserve">You should try to use </w:t>
      </w:r>
      <w:r w:rsidR="00D33F52">
        <w:t xml:space="preserve">site-specific infiltration and recharge rates. However, </w:t>
      </w:r>
      <w:r>
        <w:t xml:space="preserve">you can use </w:t>
      </w:r>
      <w:r w:rsidR="00D33F52">
        <w:t xml:space="preserve">literature vales </w:t>
      </w:r>
      <w:r w:rsidR="00D33F52" w:rsidDel="0043515D">
        <w:t xml:space="preserve">if </w:t>
      </w:r>
      <w:r w:rsidR="00D33F52">
        <w:t xml:space="preserve">appropriately justified. </w:t>
      </w:r>
    </w:p>
    <w:p w14:paraId="54A1F9FC" w14:textId="137F8007" w:rsidR="00D33F52" w:rsidRDefault="00D33F52" w:rsidP="001A157A">
      <w:pPr>
        <w:pStyle w:val="BodyText1"/>
      </w:pPr>
      <w:r>
        <w:t xml:space="preserve">Source composition and concentrations may change over time. </w:t>
      </w:r>
      <w:r w:rsidR="00D946C3">
        <w:t>You can take into account t</w:t>
      </w:r>
      <w:r>
        <w:t xml:space="preserve">emporal trends in source concentrations in predictive modelling of future impacts, provided this can be appropriately justified. </w:t>
      </w:r>
    </w:p>
    <w:p w14:paraId="518B9215" w14:textId="7CD0E82D" w:rsidR="00D33F52" w:rsidRPr="00766637" w:rsidRDefault="00D33F52" w:rsidP="001A157A">
      <w:pPr>
        <w:pStyle w:val="BodyText1"/>
      </w:pPr>
      <w:r w:rsidRPr="00766637">
        <w:t xml:space="preserve">When measuring leachability, the analytical method used can influence the results. </w:t>
      </w:r>
      <w:r w:rsidR="005168BC">
        <w:t xml:space="preserve">You should consider </w:t>
      </w:r>
      <w:r w:rsidRPr="00766637">
        <w:t xml:space="preserve">what analytical methods are likely to be representative for the scenario being assessed. </w:t>
      </w:r>
      <w:r w:rsidR="00FF1AA2">
        <w:t>You may wish to undertake</w:t>
      </w:r>
      <w:r w:rsidRPr="00766637">
        <w:t xml:space="preserve"> a bespoke leachability assessment </w:t>
      </w:r>
      <w:r w:rsidR="00FF1AA2">
        <w:t>as this</w:t>
      </w:r>
      <w:r w:rsidR="00FF1AA2" w:rsidRPr="00766637">
        <w:t xml:space="preserve"> </w:t>
      </w:r>
      <w:r w:rsidRPr="00766637">
        <w:t>may be more representative of the</w:t>
      </w:r>
      <w:r>
        <w:t xml:space="preserve"> long-term</w:t>
      </w:r>
      <w:r w:rsidRPr="00766637">
        <w:t xml:space="preserve"> leaching that might occur under the site-specific conditions than generic leachability testing</w:t>
      </w:r>
      <w:r w:rsidR="00FF1AA2">
        <w:t>. F</w:t>
      </w:r>
      <w:r w:rsidRPr="00766637">
        <w:t>or example</w:t>
      </w:r>
      <w:r w:rsidR="00FF1AA2">
        <w:t>,</w:t>
      </w:r>
      <w:r w:rsidRPr="00766637">
        <w:t xml:space="preserve"> amending the duration of the leaching test and/or the water quality (e.g. pH</w:t>
      </w:r>
      <w:r>
        <w:t>,</w:t>
      </w:r>
      <w:r w:rsidRPr="00766637">
        <w:t xml:space="preserve"> salinity).  </w:t>
      </w:r>
    </w:p>
    <w:p w14:paraId="4DE06102" w14:textId="1B642F3D" w:rsidR="00D33F52" w:rsidRPr="00766637" w:rsidRDefault="0020111E" w:rsidP="001A157A">
      <w:pPr>
        <w:pStyle w:val="BodyText1"/>
      </w:pPr>
      <w:r>
        <w:t>You can adopt a</w:t>
      </w:r>
      <w:r w:rsidR="00D33F52" w:rsidRPr="00766637">
        <w:t xml:space="preserve"> lines-of-evidence approach when estimating site-specific source loading rates. This may include comparison of contaminant concentrations in soil and groundwater for historical land contamination sources, consideration of the potential influence of background groundwater quality on solubility and leachability, and the potential influence of the mixture of contaminants present. </w:t>
      </w:r>
    </w:p>
    <w:p w14:paraId="29DAFAC0" w14:textId="6CE6D71D" w:rsidR="00D33F52" w:rsidRPr="001A157A" w:rsidRDefault="00D33F52" w:rsidP="001A157A">
      <w:pPr>
        <w:pStyle w:val="BodyText1"/>
      </w:pPr>
      <w:r w:rsidRPr="00E2523C">
        <w:t xml:space="preserve">If there is uncertainty as to the geometry and/or composition of the source zone, then any assumptions </w:t>
      </w:r>
      <w:r w:rsidR="00A55170">
        <w:t>you use</w:t>
      </w:r>
      <w:r w:rsidR="00A55170" w:rsidRPr="00E2523C">
        <w:t xml:space="preserve"> </w:t>
      </w:r>
      <w:r w:rsidRPr="00E2523C">
        <w:t>in estimating the loading rates must be documented and justified.</w:t>
      </w:r>
      <w:r>
        <w:t xml:space="preserve"> </w:t>
      </w:r>
    </w:p>
    <w:p w14:paraId="400F0DC4" w14:textId="5D13562F" w:rsidR="00D33F52" w:rsidRPr="00684F5A" w:rsidRDefault="008E63B2" w:rsidP="00D33F52">
      <w:pPr>
        <w:pStyle w:val="Heading3"/>
        <w:rPr>
          <w:rFonts w:eastAsia="Times New Roman"/>
        </w:rPr>
      </w:pPr>
      <w:bookmarkStart w:id="55" w:name="_Toc193716169"/>
      <w:r>
        <w:rPr>
          <w:rFonts w:eastAsia="Times New Roman"/>
        </w:rPr>
        <w:lastRenderedPageBreak/>
        <w:t>A3.3.2</w:t>
      </w:r>
      <w:r>
        <w:rPr>
          <w:rFonts w:eastAsia="Times New Roman"/>
        </w:rPr>
        <w:tab/>
      </w:r>
      <w:r w:rsidR="00D33F52">
        <w:rPr>
          <w:rFonts w:eastAsia="Times New Roman"/>
        </w:rPr>
        <w:t>Accounting for upgradient groundwater quality</w:t>
      </w:r>
      <w:bookmarkEnd w:id="55"/>
    </w:p>
    <w:p w14:paraId="5746DB4E" w14:textId="040945BB" w:rsidR="00EF4A61" w:rsidRDefault="00EF4A61" w:rsidP="00C75AA3">
      <w:pPr>
        <w:pStyle w:val="BodyText1"/>
      </w:pPr>
      <w:r>
        <w:t xml:space="preserve">Where the background groundwater upgradient of the site being assessed contains naturally elevated concentrations, then </w:t>
      </w:r>
      <w:r w:rsidR="00E83298">
        <w:t xml:space="preserve">you should use </w:t>
      </w:r>
      <w:r>
        <w:t xml:space="preserve">site-specific values in accordance with Annex 2.3 instead of applying the Groundwater Standards set out in Annex 2.1. </w:t>
      </w:r>
    </w:p>
    <w:p w14:paraId="0D2308BD" w14:textId="2E24798D" w:rsidR="00EF4A61" w:rsidRDefault="001E4056" w:rsidP="00C75AA3">
      <w:pPr>
        <w:pStyle w:val="BodyText1"/>
      </w:pPr>
      <w:r>
        <w:t>You must not adjust t</w:t>
      </w:r>
      <w:r w:rsidR="00EF4A61">
        <w:t xml:space="preserve">he Groundwater Standards </w:t>
      </w:r>
      <w:r>
        <w:t xml:space="preserve">to take account </w:t>
      </w:r>
      <w:r w:rsidR="00EF4A61">
        <w:t xml:space="preserve">of any background anthropogenic contamination already present in the groundwater. </w:t>
      </w:r>
    </w:p>
    <w:p w14:paraId="3DAAD142" w14:textId="79CE43E1" w:rsidR="00EF4A61" w:rsidRDefault="00EF4A61" w:rsidP="00C75AA3">
      <w:pPr>
        <w:pStyle w:val="BodyText1"/>
      </w:pPr>
      <w:r>
        <w:t>Where background groundwater concentrations upgradient of the site being assessed are already impacted by anthropogenic contamination</w:t>
      </w:r>
      <w:r>
        <w:rPr>
          <w:sz w:val="20"/>
          <w:vertAlign w:val="superscript"/>
        </w:rPr>
        <w:footnoteReference w:id="20"/>
      </w:r>
      <w:r>
        <w:t xml:space="preserve">, </w:t>
      </w:r>
      <w:r w:rsidR="00FB6D91">
        <w:t xml:space="preserve">you should </w:t>
      </w:r>
      <w:r>
        <w:t>conside</w:t>
      </w:r>
      <w:r w:rsidR="00FB6D91">
        <w:t>r this</w:t>
      </w:r>
      <w:r>
        <w:t xml:space="preserve"> during the quantitative risk assessment process.  </w:t>
      </w:r>
      <w:r w:rsidR="00CE08C8">
        <w:t>T</w:t>
      </w:r>
      <w:r>
        <w:t>h</w:t>
      </w:r>
      <w:r w:rsidR="00CE08C8">
        <w:t>e</w:t>
      </w:r>
      <w:r>
        <w:t xml:space="preserve"> levels of background contamination are often not within the control of site owners or operators. However, groundwater resources do not have an infinite capacity to accept inputs before the groundwater becomes no longer suitable for future use.  </w:t>
      </w:r>
    </w:p>
    <w:p w14:paraId="7BEC4BFE" w14:textId="6E43D0B8" w:rsidR="00EF4A61" w:rsidRDefault="00EF4A61" w:rsidP="00C75AA3">
      <w:pPr>
        <w:pStyle w:val="BodyText1"/>
      </w:pPr>
      <w:r>
        <w:t>If the background contamination does not yet exceed the relevant groundwater pollution or status standard,</w:t>
      </w:r>
      <w:r w:rsidR="00CE08C8">
        <w:t xml:space="preserve"> you should check that the</w:t>
      </w:r>
      <w:r>
        <w:t xml:space="preserve"> input being assessed </w:t>
      </w:r>
      <w:r w:rsidR="00CE08C8">
        <w:t xml:space="preserve">does </w:t>
      </w:r>
      <w:r>
        <w:t xml:space="preserve">not result in the standard being exceeded. </w:t>
      </w:r>
      <w:r w:rsidR="000B7783">
        <w:t>You should take into account u</w:t>
      </w:r>
      <w:r>
        <w:t>pgradient groundwater concentrations, including consideration of any significant temporal trends</w:t>
      </w:r>
      <w:r w:rsidR="000B7783">
        <w:t xml:space="preserve"> </w:t>
      </w:r>
      <w:r>
        <w:t xml:space="preserve">when calculating acceptable source concentrations. </w:t>
      </w:r>
      <w:r w:rsidR="000B7783">
        <w:t>You can also consider n</w:t>
      </w:r>
      <w:r>
        <w:t xml:space="preserve">atural attenuation within both the unsaturated zone and the saturated zone </w:t>
      </w:r>
      <w:r w:rsidR="000B7783">
        <w:t>if</w:t>
      </w:r>
      <w:r>
        <w:t xml:space="preserve"> this can be adequately justified.  </w:t>
      </w:r>
    </w:p>
    <w:p w14:paraId="4417827B" w14:textId="5A2374BA" w:rsidR="00EF4A61" w:rsidRDefault="00EF4A61" w:rsidP="00C75AA3">
      <w:pPr>
        <w:pStyle w:val="BodyText1"/>
      </w:pPr>
      <w:r>
        <w:t xml:space="preserve">If the background contamination already exceeds the relevant groundwater pollution or status standard, significant additional inputs will not be permitted unless a relevant exemption is applicable (see Section 5). The input concentration must not exceed the relevant standard at the point of entry into groundwater. Natural attenuation within the unsaturated zone only may be considered provided this can be adequately justified.  </w:t>
      </w:r>
    </w:p>
    <w:p w14:paraId="56EE6062" w14:textId="06756D2D" w:rsidR="00EF4A61" w:rsidRDefault="00E215A2" w:rsidP="00C75AA3">
      <w:pPr>
        <w:pStyle w:val="BodyText1"/>
      </w:pPr>
      <w:r>
        <w:t>You should check that the</w:t>
      </w:r>
      <w:r w:rsidR="00EF4A61">
        <w:t xml:space="preserve"> input into groundwater being assessed </w:t>
      </w:r>
      <w:r>
        <w:t xml:space="preserve">does </w:t>
      </w:r>
      <w:r w:rsidR="00EF4A61">
        <w:t>not result in the groundwater body becoming poor status or prevent</w:t>
      </w:r>
      <w:r>
        <w:t>s</w:t>
      </w:r>
      <w:r w:rsidR="00EF4A61">
        <w:t xml:space="preserve"> a groundwater body already at poor status from being restored. </w:t>
      </w:r>
    </w:p>
    <w:p w14:paraId="524C41B6" w14:textId="638B0882" w:rsidR="00EF4A61" w:rsidRDefault="00B26932" w:rsidP="00C75AA3">
      <w:pPr>
        <w:pStyle w:val="BodyText1"/>
      </w:pPr>
      <w:r>
        <w:lastRenderedPageBreak/>
        <w:t xml:space="preserve">You should also check that </w:t>
      </w:r>
      <w:r w:rsidR="00EF4A61">
        <w:t xml:space="preserve">the input into groundwater being assessed </w:t>
      </w:r>
      <w:r>
        <w:t xml:space="preserve">does </w:t>
      </w:r>
      <w:r w:rsidR="00EF4A61">
        <w:t xml:space="preserve">not result in any additional adverse impact to surface waters, abstractions or wetlands. </w:t>
      </w:r>
    </w:p>
    <w:p w14:paraId="54F58572" w14:textId="04126A23" w:rsidR="00EF4A61" w:rsidRPr="00684F5A" w:rsidRDefault="008E63B2" w:rsidP="00EF4A61">
      <w:pPr>
        <w:pStyle w:val="Heading3"/>
        <w:rPr>
          <w:rFonts w:eastAsia="Times New Roman"/>
        </w:rPr>
      </w:pPr>
      <w:bookmarkStart w:id="56" w:name="_Toc193716170"/>
      <w:r>
        <w:rPr>
          <w:rFonts w:eastAsia="Times New Roman"/>
        </w:rPr>
        <w:t>A3.3.3</w:t>
      </w:r>
      <w:r>
        <w:rPr>
          <w:rFonts w:eastAsia="Times New Roman"/>
        </w:rPr>
        <w:tab/>
      </w:r>
      <w:r w:rsidR="00EF4A61">
        <w:rPr>
          <w:rFonts w:eastAsia="Times New Roman"/>
        </w:rPr>
        <w:t>Assessing impacts on future groundwater resources</w:t>
      </w:r>
      <w:bookmarkEnd w:id="56"/>
    </w:p>
    <w:p w14:paraId="749F473B" w14:textId="1D152989" w:rsidR="001D1786" w:rsidRDefault="008A4F81" w:rsidP="00C75AA3">
      <w:pPr>
        <w:pStyle w:val="BodyText1"/>
      </w:pPr>
      <w:r w:rsidRPr="008A4F81">
        <w:t>When assessing impacts on future groundwater resources</w:t>
      </w:r>
      <w:r w:rsidR="006F1C8B">
        <w:t xml:space="preserve"> you should compare </w:t>
      </w:r>
      <w:r w:rsidRPr="008A4F81">
        <w:t xml:space="preserve">the combined area of both the source and the predicted maximum extent of the associated downgradient plume with the relevant assessment areas (1 ha for pollution or 20 ha for status).  </w:t>
      </w:r>
    </w:p>
    <w:p w14:paraId="76C298D0" w14:textId="755EEE5B" w:rsidR="00513341" w:rsidRPr="00684F5A" w:rsidRDefault="001F7D4F" w:rsidP="00C75AA3">
      <w:pPr>
        <w:pStyle w:val="Heading4"/>
        <w:rPr>
          <w:rFonts w:eastAsia="Times New Roman"/>
        </w:rPr>
      </w:pPr>
      <w:r>
        <w:rPr>
          <w:rFonts w:eastAsia="Times New Roman"/>
        </w:rPr>
        <w:t>Setting assessment points</w:t>
      </w:r>
    </w:p>
    <w:p w14:paraId="29052960" w14:textId="6A64FBB4" w:rsidR="00502B56" w:rsidRDefault="00502B56" w:rsidP="00C75AA3">
      <w:pPr>
        <w:pStyle w:val="BodyText1"/>
      </w:pPr>
      <w:r>
        <w:t xml:space="preserve">Many commonly used quantitative risk assessment methods involve 2-dimensional equations or models that simulate a vertical cross-section of the source and plume.  To aid such calculations, </w:t>
      </w:r>
      <w:r w:rsidR="000F6D9A">
        <w:t xml:space="preserve">you will need to calculate </w:t>
      </w:r>
      <w:r>
        <w:t xml:space="preserve">equivalent downgradient assessment points based on the source area geometry, particularly the source width perpendicular to the groundwater flow direction. The equivalent assessment point distance must be measured from the upgradient boundary of the source in the direction of groundwater flow. </w:t>
      </w:r>
    </w:p>
    <w:p w14:paraId="7CB44040" w14:textId="77777777" w:rsidR="00502B56" w:rsidRDefault="00502B56" w:rsidP="00C75AA3">
      <w:pPr>
        <w:pStyle w:val="BodyText1"/>
      </w:pPr>
      <w:r>
        <w:t xml:space="preserve">The maximum acceptable equivalent assessment point distances are 500 m for pollution and 4 km for status. These values have been based on </w:t>
      </w:r>
      <w:r w:rsidRPr="00DB6470">
        <w:t xml:space="preserve">consideration of typical Scottish topography, geology and hydrology </w:t>
      </w:r>
      <w:r>
        <w:t>whilst</w:t>
      </w:r>
      <w:r w:rsidRPr="00DB6470">
        <w:t xml:space="preserve"> </w:t>
      </w:r>
      <w:r>
        <w:t>adopting</w:t>
      </w:r>
      <w:r w:rsidRPr="00DB6470">
        <w:t xml:space="preserve"> a nationally consistent approach.  </w:t>
      </w:r>
    </w:p>
    <w:p w14:paraId="178F9A74" w14:textId="506CAC66" w:rsidR="00502B56" w:rsidRDefault="008A6867" w:rsidP="00C75AA3">
      <w:pPr>
        <w:pStyle w:val="BodyText1"/>
      </w:pPr>
      <w:r>
        <w:t>You should define t</w:t>
      </w:r>
      <w:r w:rsidR="00502B56">
        <w:t>he depth of the equivalent assessment point on a site-specific basis, taking into account the local hydrogeological setting, so as to be representative of the vertical centreline of the plume (i.e. the highest concentration in the vertical dimension). The exception to this is where the centreline of the plume is located within superficial deposits that are not classed as having future groundwater resource potential</w:t>
      </w:r>
      <w:r w:rsidR="008D089E">
        <w:t>. In these cases,</w:t>
      </w:r>
      <w:r w:rsidR="00502B56" w:rsidDel="008D089E">
        <w:t xml:space="preserve"> </w:t>
      </w:r>
      <w:r w:rsidR="00502B56">
        <w:t>the equivalent assessment point should be located at the top of the underlying groundwater resource receptor</w:t>
      </w:r>
      <w:r w:rsidR="008D089E">
        <w:t xml:space="preserve">. </w:t>
      </w:r>
    </w:p>
    <w:p w14:paraId="568B0B1B" w14:textId="7C5D3757" w:rsidR="00502B56" w:rsidRPr="006166E8" w:rsidRDefault="00502B56" w:rsidP="00C75AA3">
      <w:pPr>
        <w:pStyle w:val="BodyText1"/>
      </w:pPr>
      <w:r w:rsidRPr="006166E8">
        <w:t xml:space="preserve">For larger source areas, the equivalent assessment point for future groundwater resources may be located within the source area. If this is the case, </w:t>
      </w:r>
      <w:r w:rsidR="00D47FF7">
        <w:t>your</w:t>
      </w:r>
      <w:r w:rsidR="00D47FF7" w:rsidRPr="006166E8">
        <w:t xml:space="preserve"> </w:t>
      </w:r>
      <w:r>
        <w:t xml:space="preserve">risk assessment </w:t>
      </w:r>
      <w:r w:rsidRPr="006166E8">
        <w:t xml:space="preserve">should then predict the maximum spatial extent of the potential impact (source + plume). </w:t>
      </w:r>
      <w:r>
        <w:t xml:space="preserve">The likely maximum extent of the plume will be influenced by factors such as the geological setting and the presence of groundwater discharge zones. </w:t>
      </w:r>
      <w:r w:rsidR="009B7958">
        <w:t xml:space="preserve">You may need to carry out a more </w:t>
      </w:r>
      <w:r w:rsidRPr="006166E8">
        <w:t xml:space="preserve">detailed consideration of the consequent predicted impact on the groundwater body as a whole, which is likely to require </w:t>
      </w:r>
      <w:r w:rsidRPr="006166E8">
        <w:lastRenderedPageBreak/>
        <w:t xml:space="preserve">discussion with SEPA. </w:t>
      </w:r>
      <w:r w:rsidR="00822624">
        <w:t xml:space="preserve">You may need to take </w:t>
      </w:r>
      <w:r w:rsidR="00F97D59">
        <w:t>into</w:t>
      </w:r>
      <w:r w:rsidR="00822624">
        <w:t xml:space="preserve"> account </w:t>
      </w:r>
      <w:r w:rsidR="00F97D59" w:rsidRPr="006166E8">
        <w:t xml:space="preserve">exemptions </w:t>
      </w:r>
      <w:r w:rsidR="00F97D59">
        <w:t xml:space="preserve">when considering </w:t>
      </w:r>
      <w:r w:rsidRPr="006166E8">
        <w:t>large sources</w:t>
      </w:r>
      <w:r w:rsidR="00F97D59">
        <w:t>.</w:t>
      </w:r>
      <w:r w:rsidRPr="006166E8">
        <w:t xml:space="preserve">  </w:t>
      </w:r>
    </w:p>
    <w:p w14:paraId="40B70FCE" w14:textId="77C5444D" w:rsidR="00502B56" w:rsidRDefault="00B5587F" w:rsidP="00C75AA3">
      <w:pPr>
        <w:pStyle w:val="BodyText1"/>
      </w:pPr>
      <w:r>
        <w:t>If you have</w:t>
      </w:r>
      <w:r w:rsidRPr="006166E8">
        <w:t xml:space="preserve"> </w:t>
      </w:r>
      <w:r w:rsidR="00502B56" w:rsidRPr="006166E8">
        <w:t xml:space="preserve">multiple source zones of the same or similar contaminants that are present in close proximity to one another and </w:t>
      </w:r>
      <w:r>
        <w:t xml:space="preserve">it is </w:t>
      </w:r>
      <w:r w:rsidR="00502B56" w:rsidRPr="006166E8">
        <w:t xml:space="preserve">predicted </w:t>
      </w:r>
      <w:r>
        <w:t xml:space="preserve">that the </w:t>
      </w:r>
      <w:r w:rsidR="00502B56" w:rsidRPr="006166E8">
        <w:t>plumes</w:t>
      </w:r>
      <w:r>
        <w:t xml:space="preserve"> will overlap</w:t>
      </w:r>
      <w:r w:rsidR="00502B56" w:rsidRPr="006166E8">
        <w:t xml:space="preserve">, </w:t>
      </w:r>
      <w:r w:rsidR="00000EC4">
        <w:t xml:space="preserve">you should normally measure the </w:t>
      </w:r>
      <w:r w:rsidR="00502B56" w:rsidRPr="006166E8">
        <w:t>equivalent assessment point distance from the upgradient boundary of the source zone located furthest upgradient.</w:t>
      </w:r>
      <w:r w:rsidR="00502B56">
        <w:t xml:space="preserve"> </w:t>
      </w:r>
    </w:p>
    <w:p w14:paraId="1F06936F" w14:textId="0F417AC3" w:rsidR="00502B56" w:rsidRDefault="00502B56" w:rsidP="00C75AA3">
      <w:pPr>
        <w:pStyle w:val="BodyText1"/>
      </w:pPr>
      <w:r>
        <w:t xml:space="preserve">If the equivalent assessment point is located at or beyond the coast (mean high water springs tidal limit), </w:t>
      </w:r>
      <w:r w:rsidR="00AD7BFE">
        <w:t xml:space="preserve">you don’t need to consider </w:t>
      </w:r>
      <w:r>
        <w:t>the future groundwater resource</w:t>
      </w:r>
      <w:r w:rsidR="00AD7BFE">
        <w:t xml:space="preserve"> </w:t>
      </w:r>
      <w:r>
        <w:t xml:space="preserve">as a receptor because the coast is expected to be a major discharge zone. </w:t>
      </w:r>
      <w:r w:rsidR="003476C6">
        <w:t>You should consider t</w:t>
      </w:r>
      <w:r>
        <w:t xml:space="preserve">he groundwater as a pathway to the coastal or transitional water body receptor.  </w:t>
      </w:r>
    </w:p>
    <w:p w14:paraId="36A2ADCC" w14:textId="7E033F37" w:rsidR="00502B56" w:rsidRDefault="00502B56" w:rsidP="00C75AA3">
      <w:pPr>
        <w:pStyle w:val="BodyText1"/>
      </w:pPr>
      <w:r>
        <w:t>If the equivalent assessment point is located on the opposite side of a river or loch from the source</w:t>
      </w:r>
      <w:r w:rsidR="00915FA3">
        <w:t xml:space="preserve"> you need to undertake </w:t>
      </w:r>
      <w:r>
        <w:t xml:space="preserve">further assessment. If </w:t>
      </w:r>
      <w:r w:rsidR="00915FA3">
        <w:t>you</w:t>
      </w:r>
      <w:r>
        <w:t xml:space="preserve"> can demonstrate that the majority of the downgradient plume enters the surface water body as baseflow, then </w:t>
      </w:r>
      <w:r w:rsidR="00C95268">
        <w:t xml:space="preserve">you can consider </w:t>
      </w:r>
      <w:r>
        <w:t xml:space="preserve">groundwater as a pathway rather than as future groundwater resource. However, where the geological and hydrogeological evidence suggests that the majority of the plume may pass beneath the surface water feature, then </w:t>
      </w:r>
      <w:r w:rsidR="00C95268">
        <w:t xml:space="preserve">you should consider the </w:t>
      </w:r>
      <w:r>
        <w:t>future groundwater resource</w:t>
      </w:r>
      <w:r w:rsidDel="00C95268">
        <w:t xml:space="preserve"> </w:t>
      </w:r>
      <w:r>
        <w:t xml:space="preserve">as a receptor. </w:t>
      </w:r>
      <w:r w:rsidR="001D4E12">
        <w:t xml:space="preserve">You </w:t>
      </w:r>
      <w:r w:rsidR="00F1047C">
        <w:t>should base t</w:t>
      </w:r>
      <w:r>
        <w:t xml:space="preserve">he assessment on site-specific evidence obtained from site investigation and/or groundwater and surface water monitoring.  In the absence of plausible site-specific evidence, </w:t>
      </w:r>
      <w:r w:rsidR="00F1047C">
        <w:t>you should</w:t>
      </w:r>
      <w:r>
        <w:t xml:space="preserve"> adopt a precautionary approach.  </w:t>
      </w:r>
    </w:p>
    <w:p w14:paraId="73FD682F" w14:textId="7A32BC08" w:rsidR="00502B56" w:rsidRDefault="00502B56" w:rsidP="00764151">
      <w:pPr>
        <w:pStyle w:val="BodyText1"/>
      </w:pPr>
      <w:r w:rsidRPr="006166E8">
        <w:t xml:space="preserve">For complex sites, such as those with multiple source zones, multiple hydrogeological units, or with preferential pathways for contaminant migration, </w:t>
      </w:r>
      <w:r w:rsidR="00F1047C">
        <w:t xml:space="preserve">you </w:t>
      </w:r>
      <w:r w:rsidRPr="006166E8">
        <w:t xml:space="preserve">may </w:t>
      </w:r>
      <w:r w:rsidR="00F1047C">
        <w:t>need</w:t>
      </w:r>
      <w:r w:rsidRPr="006166E8" w:rsidDel="00F1047C">
        <w:t xml:space="preserve"> to </w:t>
      </w:r>
      <w:r w:rsidRPr="006166E8">
        <w:t xml:space="preserve">undertake 3-dimensional modelling rather than 2-dimensional cross-section modelling. If </w:t>
      </w:r>
      <w:r w:rsidR="00CA3EDB">
        <w:t xml:space="preserve">you are </w:t>
      </w:r>
      <w:r w:rsidRPr="006166E8">
        <w:t xml:space="preserve">undertaking 3-dimensional modelling, then </w:t>
      </w:r>
      <w:r w:rsidR="00CA3EDB">
        <w:t xml:space="preserve">you may be able </w:t>
      </w:r>
      <w:r w:rsidR="00FD32F5">
        <w:t xml:space="preserve">to model </w:t>
      </w:r>
      <w:r w:rsidRPr="006166E8">
        <w:t xml:space="preserve">the spatial footprint of the source and plume directly and it </w:t>
      </w:r>
      <w:r>
        <w:t>may</w:t>
      </w:r>
      <w:r w:rsidRPr="006166E8">
        <w:t xml:space="preserve"> not be necessary to set an equivalent assessment point.</w:t>
      </w:r>
      <w:r>
        <w:t xml:space="preserve"> </w:t>
      </w:r>
    </w:p>
    <w:p w14:paraId="6FE0F6FD" w14:textId="0F2C9CDD" w:rsidR="00502B56" w:rsidRPr="00684F5A" w:rsidRDefault="00502B56" w:rsidP="00C75AA3">
      <w:pPr>
        <w:pStyle w:val="Heading4"/>
        <w:rPr>
          <w:rFonts w:eastAsia="Times New Roman"/>
        </w:rPr>
      </w:pPr>
      <w:r>
        <w:rPr>
          <w:rFonts w:eastAsia="Times New Roman"/>
        </w:rPr>
        <w:t>Assessing potential impacts on status</w:t>
      </w:r>
    </w:p>
    <w:p w14:paraId="58CC1076" w14:textId="3161941B" w:rsidR="00A354BB" w:rsidRDefault="0068545F" w:rsidP="00C75AA3">
      <w:pPr>
        <w:pStyle w:val="BodyText1"/>
      </w:pPr>
      <w:r>
        <w:t>I</w:t>
      </w:r>
      <w:r w:rsidR="00A354BB" w:rsidRPr="00B93CB2">
        <w:t xml:space="preserve">f there is a plume </w:t>
      </w:r>
      <w:r>
        <w:t xml:space="preserve">of hazardous substance </w:t>
      </w:r>
      <w:r w:rsidR="00A354BB" w:rsidRPr="00B93CB2">
        <w:t xml:space="preserve">that is or is likely to become greater than 20 hectares in plan view then this would impact groundwater body status for the groundwater body(bodies) in which the source(s) is located. </w:t>
      </w:r>
    </w:p>
    <w:p w14:paraId="23695A9D" w14:textId="0BB92710" w:rsidR="00A354BB" w:rsidRPr="00B93CB2" w:rsidRDefault="00A354BB" w:rsidP="00C75AA3">
      <w:pPr>
        <w:pStyle w:val="BodyText1"/>
      </w:pPr>
      <w:r w:rsidRPr="00B93CB2">
        <w:lastRenderedPageBreak/>
        <w:t xml:space="preserve">For non-hazardous substances, if the average concentration across the groundwater body exceeds the Threshold Value, then this would impact groundwater body status for the groundwater body in which the source(s) is located. </w:t>
      </w:r>
    </w:p>
    <w:p w14:paraId="16F4A263" w14:textId="3E66DDD7" w:rsidR="00A354BB" w:rsidRPr="00D57754" w:rsidRDefault="00A354BB" w:rsidP="00C75AA3">
      <w:pPr>
        <w:pStyle w:val="BodyText1"/>
        <w:rPr>
          <w:highlight w:val="yellow"/>
        </w:rPr>
      </w:pPr>
      <w:r w:rsidRPr="00F129F6">
        <w:t>As an initial screening step,</w:t>
      </w:r>
      <w:r w:rsidR="00167941">
        <w:t xml:space="preserve"> you should determine</w:t>
      </w:r>
      <w:r w:rsidRPr="00F129F6">
        <w:t xml:space="preserve"> if there is a plume of non-hazardous substances that is or is likely to become greater than 200 hectares in plan view</w:t>
      </w:r>
      <w:r w:rsidR="00167941">
        <w:t>. If there is</w:t>
      </w:r>
      <w:r w:rsidRPr="00F129F6">
        <w:t xml:space="preserve"> then further assessment of potential </w:t>
      </w:r>
      <w:r>
        <w:t xml:space="preserve">groundwater body </w:t>
      </w:r>
      <w:r w:rsidRPr="00F129F6">
        <w:t xml:space="preserve">status failure is </w:t>
      </w:r>
      <w:r>
        <w:t xml:space="preserve">likely to be </w:t>
      </w:r>
      <w:r w:rsidRPr="00F129F6">
        <w:t xml:space="preserve">required. </w:t>
      </w:r>
    </w:p>
    <w:p w14:paraId="609885FA" w14:textId="77777777" w:rsidR="00A354BB" w:rsidRPr="00B93CB2" w:rsidRDefault="00A354BB" w:rsidP="00C75AA3">
      <w:pPr>
        <w:pStyle w:val="BodyText1"/>
      </w:pPr>
      <w:r w:rsidRPr="00B93CB2">
        <w:t>This further assessment should consider:</w:t>
      </w:r>
    </w:p>
    <w:p w14:paraId="5658B43E" w14:textId="31D7ABC3" w:rsidR="00A354BB" w:rsidRPr="00B93CB2" w:rsidRDefault="00A354BB" w:rsidP="00C75AA3">
      <w:pPr>
        <w:pStyle w:val="BodyText1"/>
        <w:numPr>
          <w:ilvl w:val="0"/>
          <w:numId w:val="87"/>
        </w:numPr>
      </w:pPr>
      <w:r w:rsidRPr="00B93CB2">
        <w:t>Potential loading from the source term relative to the recharge to the groundwater body as a whole</w:t>
      </w:r>
      <w:r w:rsidR="001E348C">
        <w:t>.</w:t>
      </w:r>
    </w:p>
    <w:p w14:paraId="240781FF" w14:textId="04B86571" w:rsidR="00A354BB" w:rsidRDefault="00A354BB" w:rsidP="00C75AA3">
      <w:pPr>
        <w:pStyle w:val="BodyText1"/>
        <w:numPr>
          <w:ilvl w:val="0"/>
          <w:numId w:val="87"/>
        </w:numPr>
      </w:pPr>
      <w:r w:rsidRPr="00B93CB2">
        <w:t>Background groundwater concentrations elsewhere in the groundwater body</w:t>
      </w:r>
      <w:r w:rsidR="10F265AC">
        <w:t>.</w:t>
      </w:r>
    </w:p>
    <w:p w14:paraId="4F12D473" w14:textId="3E7BC714" w:rsidR="00A354BB" w:rsidRDefault="00A354BB" w:rsidP="00C75AA3">
      <w:pPr>
        <w:pStyle w:val="BodyText1"/>
        <w:numPr>
          <w:ilvl w:val="0"/>
          <w:numId w:val="87"/>
        </w:numPr>
      </w:pPr>
      <w:r>
        <w:t>Geological setting, particularly features such as faults or geological boundaries that may influence groundwater flow paths and plume geometry</w:t>
      </w:r>
      <w:r w:rsidR="001E348C">
        <w:t>.</w:t>
      </w:r>
    </w:p>
    <w:p w14:paraId="206D1E30" w14:textId="77777777" w:rsidR="00A354BB" w:rsidRPr="00B93CB2" w:rsidRDefault="00A354BB" w:rsidP="00C75AA3">
      <w:pPr>
        <w:pStyle w:val="BodyText1"/>
        <w:numPr>
          <w:ilvl w:val="0"/>
          <w:numId w:val="87"/>
        </w:numPr>
      </w:pPr>
      <w:r>
        <w:t>Proximity to major discharge zones.</w:t>
      </w:r>
      <w:r w:rsidRPr="00B93CB2">
        <w:t xml:space="preserve"> </w:t>
      </w:r>
    </w:p>
    <w:p w14:paraId="2B1C1867" w14:textId="11C4F45B" w:rsidR="00502B56" w:rsidRDefault="00A354BB" w:rsidP="005F6744">
      <w:pPr>
        <w:pStyle w:val="BodyText1"/>
      </w:pPr>
      <w:r w:rsidRPr="00B93CB2">
        <w:t xml:space="preserve">If relevant background water quality data is not available for the contaminant in question, then </w:t>
      </w:r>
      <w:r w:rsidR="001E348C">
        <w:t xml:space="preserve">you need to make </w:t>
      </w:r>
      <w:r w:rsidRPr="00B93CB2">
        <w:t xml:space="preserve">assumptions regarding likely groundwater quality. </w:t>
      </w:r>
      <w:r w:rsidR="001E348C">
        <w:t xml:space="preserve">You should provide </w:t>
      </w:r>
      <w:r w:rsidR="00A671DB">
        <w:t xml:space="preserve">justification for </w:t>
      </w:r>
      <w:r w:rsidRPr="00B93CB2">
        <w:t xml:space="preserve">these assumptions </w:t>
      </w:r>
      <w:r w:rsidRPr="00B93CB2" w:rsidDel="00A671DB">
        <w:t xml:space="preserve">in </w:t>
      </w:r>
      <w:r w:rsidRPr="00B93CB2">
        <w:t>the risk assessment.</w:t>
      </w:r>
      <w:r>
        <w:t xml:space="preserve">  </w:t>
      </w:r>
    </w:p>
    <w:p w14:paraId="0E3AE886" w14:textId="4EF2A7CA" w:rsidR="00A354BB" w:rsidRPr="00684F5A" w:rsidRDefault="00E24C89" w:rsidP="00A354BB">
      <w:pPr>
        <w:pStyle w:val="Heading3"/>
        <w:rPr>
          <w:rFonts w:eastAsia="Times New Roman"/>
        </w:rPr>
      </w:pPr>
      <w:bookmarkStart w:id="57" w:name="_Toc193716171"/>
      <w:r>
        <w:rPr>
          <w:rFonts w:eastAsia="Times New Roman"/>
        </w:rPr>
        <w:t>A3.3.4</w:t>
      </w:r>
      <w:r>
        <w:rPr>
          <w:rFonts w:eastAsia="Times New Roman"/>
        </w:rPr>
        <w:tab/>
      </w:r>
      <w:r w:rsidR="00A354BB">
        <w:rPr>
          <w:rFonts w:eastAsia="Times New Roman"/>
        </w:rPr>
        <w:t>Assessing potential impacts on surface waters</w:t>
      </w:r>
      <w:bookmarkEnd w:id="57"/>
    </w:p>
    <w:p w14:paraId="10775346" w14:textId="2282600A" w:rsidR="007D4081" w:rsidRDefault="007D4081" w:rsidP="00C75AA3">
      <w:pPr>
        <w:pStyle w:val="BodyText1"/>
      </w:pPr>
      <w:r>
        <w:t>Surface waters are defined</w:t>
      </w:r>
      <w:r>
        <w:rPr>
          <w:rStyle w:val="FootnoteReference"/>
        </w:rPr>
        <w:footnoteReference w:id="21"/>
      </w:r>
      <w:r>
        <w:t xml:space="preserve"> as all inland waters (except groundwater); transitional water</w:t>
      </w:r>
      <w:r w:rsidR="3863E011">
        <w:t>s</w:t>
      </w:r>
      <w:r>
        <w:t xml:space="preserve">, and coastal waters. This includes small watercourses as well as water bodies. </w:t>
      </w:r>
    </w:p>
    <w:p w14:paraId="48C0AAA4" w14:textId="2155362E" w:rsidR="00E476AC" w:rsidRDefault="006F471A" w:rsidP="00C840DE">
      <w:pPr>
        <w:pStyle w:val="BodyText1"/>
      </w:pPr>
      <w:r>
        <w:t>You need to determine if t</w:t>
      </w:r>
      <w:r w:rsidR="007D4081">
        <w:t>he groundwater pollution standard for surface water impacts is exceed</w:t>
      </w:r>
      <w:r w:rsidR="003B1809">
        <w:t>ed</w:t>
      </w:r>
      <w:r w:rsidR="00C95C54">
        <w:t>. This is</w:t>
      </w:r>
      <w:r w:rsidR="007D4081" w:rsidDel="00C95C54">
        <w:t xml:space="preserve"> t</w:t>
      </w:r>
      <w:r w:rsidR="007D4081">
        <w:t xml:space="preserve">he </w:t>
      </w:r>
      <w:r w:rsidR="00C95C54">
        <w:t xml:space="preserve">exceedance of the </w:t>
      </w:r>
      <w:r w:rsidR="007D4081">
        <w:t xml:space="preserve">relevant Environmental Standard for surface waters in the surface water beyond the mixing zone due to groundwater inputs.  </w:t>
      </w:r>
    </w:p>
    <w:p w14:paraId="1B632A0F" w14:textId="3123E9C7" w:rsidR="00E476AC" w:rsidRDefault="00F77532" w:rsidP="00C75AA3">
      <w:pPr>
        <w:pStyle w:val="BodyText1"/>
      </w:pPr>
      <w:r>
        <w:lastRenderedPageBreak/>
        <w:t>You should locate t</w:t>
      </w:r>
      <w:r w:rsidR="00E476AC">
        <w:t>he assessment point in the surface water beyond the mixing zone (i.e. taking dilution into account). The actual assessment point you chose will depend upon the type of surface water feature.</w:t>
      </w:r>
    </w:p>
    <w:p w14:paraId="55855E88" w14:textId="453CCD69" w:rsidR="007D4081" w:rsidRDefault="00E476AC" w:rsidP="00C75AA3">
      <w:pPr>
        <w:pStyle w:val="BodyText1"/>
      </w:pPr>
      <w:r>
        <w:t xml:space="preserve">You can find the assessment concentrations for surface waters in </w:t>
      </w:r>
      <w:r w:rsidRPr="007C2DF1">
        <w:t>WAT-G-</w:t>
      </w:r>
      <w:r w:rsidR="007C2DF1" w:rsidRPr="007C2DF1">
        <w:t>072, EASR Guidance: Environmental s</w:t>
      </w:r>
      <w:r w:rsidRPr="007C2DF1">
        <w:t xml:space="preserve">tandards for </w:t>
      </w:r>
      <w:r w:rsidR="007C2DF1" w:rsidRPr="007C2DF1">
        <w:t>discharges to s</w:t>
      </w:r>
      <w:r w:rsidRPr="007C2DF1">
        <w:t xml:space="preserve">urface </w:t>
      </w:r>
      <w:r w:rsidR="007C2DF1" w:rsidRPr="007C2DF1">
        <w:t>w</w:t>
      </w:r>
      <w:r w:rsidRPr="007C2DF1">
        <w:t>aters.</w:t>
      </w:r>
      <w:r>
        <w:t xml:space="preserve">  </w:t>
      </w:r>
    </w:p>
    <w:p w14:paraId="3667F024" w14:textId="3CE2EEEE" w:rsidR="007D4081" w:rsidRDefault="003B1809" w:rsidP="00C75AA3">
      <w:pPr>
        <w:pStyle w:val="BodyText1"/>
      </w:pPr>
      <w:r>
        <w:t xml:space="preserve">You only need to </w:t>
      </w:r>
      <w:r w:rsidR="00313526">
        <w:t xml:space="preserve">take into account </w:t>
      </w:r>
      <w:r w:rsidR="007D4081">
        <w:t xml:space="preserve">dilution in surface waters </w:t>
      </w:r>
      <w:r w:rsidR="00313526">
        <w:t>where</w:t>
      </w:r>
      <w:r w:rsidR="007D4081">
        <w:t xml:space="preserve">: </w:t>
      </w:r>
    </w:p>
    <w:p w14:paraId="4C746B65" w14:textId="6AE0470E" w:rsidR="007D4081" w:rsidRDefault="00313526" w:rsidP="00C75AA3">
      <w:pPr>
        <w:pStyle w:val="BodyText1"/>
        <w:numPr>
          <w:ilvl w:val="0"/>
          <w:numId w:val="88"/>
        </w:numPr>
      </w:pPr>
      <w:r>
        <w:t>T</w:t>
      </w:r>
      <w:r w:rsidR="007D4081">
        <w:t>he surface water feature is located within the equivalent assessment distance set out in A3.3.3</w:t>
      </w:r>
      <w:r w:rsidR="007D4081" w:rsidDel="00313526">
        <w:t>;</w:t>
      </w:r>
      <w:r w:rsidR="007D4081">
        <w:t xml:space="preserve"> and </w:t>
      </w:r>
    </w:p>
    <w:p w14:paraId="24914DD8" w14:textId="307A75F4" w:rsidR="007D4081" w:rsidRDefault="00CA67D4" w:rsidP="00764151">
      <w:pPr>
        <w:pStyle w:val="BodyText1"/>
        <w:numPr>
          <w:ilvl w:val="0"/>
          <w:numId w:val="88"/>
        </w:numPr>
      </w:pPr>
      <w:r>
        <w:t>T</w:t>
      </w:r>
      <w:r w:rsidR="007D4081">
        <w:t xml:space="preserve">he predicted groundwater concentrations at the point of entry to surface waters exceed the surface water assessment concentrations.  </w:t>
      </w:r>
    </w:p>
    <w:p w14:paraId="1FC944AA" w14:textId="40FC8808" w:rsidR="007D4081" w:rsidRDefault="008A5A16" w:rsidP="00C75AA3">
      <w:pPr>
        <w:pStyle w:val="BodyText1"/>
      </w:pPr>
      <w:r>
        <w:t xml:space="preserve">If the groundwater pollution standard for surface waters is exceeded you </w:t>
      </w:r>
      <w:r w:rsidR="007038AD">
        <w:t>should</w:t>
      </w:r>
      <w:r>
        <w:t xml:space="preserve"> determine </w:t>
      </w:r>
      <w:r w:rsidR="00677CCA">
        <w:t>if</w:t>
      </w:r>
      <w:r>
        <w:t xml:space="preserve"> the </w:t>
      </w:r>
      <w:r w:rsidR="007D4081">
        <w:t xml:space="preserve">groundwater status standard for surface water </w:t>
      </w:r>
      <w:r>
        <w:t xml:space="preserve">is exceeded. This involves </w:t>
      </w:r>
      <w:r w:rsidR="004F3AFD">
        <w:t>determining if ther</w:t>
      </w:r>
      <w:r w:rsidR="00A521B8">
        <w:t>e</w:t>
      </w:r>
      <w:r w:rsidR="004F3AFD">
        <w:t xml:space="preserve"> has been or i</w:t>
      </w:r>
      <w:r w:rsidR="001C52BD">
        <w:t>s</w:t>
      </w:r>
      <w:r w:rsidR="004F3AFD">
        <w:t xml:space="preserve"> likely to be a</w:t>
      </w:r>
      <w:r w:rsidR="00A521B8">
        <w:t xml:space="preserve"> d</w:t>
      </w:r>
      <w:r w:rsidR="007D4081">
        <w:t xml:space="preserve">eterioration (actual or predicted) in surface water status due to exceedance of the relevant Environmental Standard for surface waters in the surface water body beyond the mixing zone over a specified spatial extent of the water body as set out in </w:t>
      </w:r>
      <w:r w:rsidR="007D4081" w:rsidRPr="0014753B">
        <w:t xml:space="preserve">Schedule 4 of </w:t>
      </w:r>
      <w:r w:rsidR="007D4081" w:rsidRPr="00AC74BD">
        <w:t>202</w:t>
      </w:r>
      <w:r w:rsidR="00F20717">
        <w:t>4</w:t>
      </w:r>
      <w:r w:rsidR="007D4081" w:rsidRPr="00AC74BD">
        <w:t xml:space="preserve"> Directions.</w:t>
      </w:r>
      <w:r w:rsidR="007D4081" w:rsidRPr="0014753B">
        <w:t xml:space="preserve"> </w:t>
      </w:r>
      <w:r w:rsidR="001C52BD">
        <w:t>You should o</w:t>
      </w:r>
      <w:r w:rsidR="007D4081" w:rsidRPr="000D0E0D">
        <w:t xml:space="preserve">nly </w:t>
      </w:r>
      <w:r w:rsidR="001C52BD">
        <w:t xml:space="preserve">consider </w:t>
      </w:r>
      <w:r w:rsidR="007D4081" w:rsidRPr="000D0E0D">
        <w:t xml:space="preserve">water bodies used for classification under </w:t>
      </w:r>
      <w:r w:rsidR="007D4081">
        <w:t>the Water Framework Directive (WFD)</w:t>
      </w:r>
      <w:r w:rsidR="00317AB9">
        <w:t xml:space="preserve">. </w:t>
      </w:r>
      <w:r w:rsidR="00A90F52">
        <w:t xml:space="preserve">You need to check if any </w:t>
      </w:r>
      <w:r w:rsidR="007D4081" w:rsidRPr="000D0E0D" w:rsidDel="00317AB9">
        <w:t>i</w:t>
      </w:r>
      <w:r w:rsidR="007D4081" w:rsidRPr="000D0E0D">
        <w:t xml:space="preserve">mpacts on tributaries will cause the main water body </w:t>
      </w:r>
      <w:r w:rsidR="22B1024E">
        <w:t>to be impacted,</w:t>
      </w:r>
      <w:r w:rsidR="007D4081" w:rsidRPr="000D0E0D">
        <w:t xml:space="preserve"> or is predicted to be impacted</w:t>
      </w:r>
      <w:r w:rsidR="081CABE3">
        <w:t>,</w:t>
      </w:r>
      <w:r w:rsidR="007D4081" w:rsidRPr="000D0E0D">
        <w:t xml:space="preserve"> to the point at which deterioration in status below Good could occur.</w:t>
      </w:r>
    </w:p>
    <w:p w14:paraId="075BDF4A" w14:textId="4514FC0E" w:rsidR="007D4081" w:rsidRDefault="00A521B8" w:rsidP="00C75AA3">
      <w:pPr>
        <w:pStyle w:val="BodyText1"/>
      </w:pPr>
      <w:r>
        <w:t>If this is the case you then need to check if g</w:t>
      </w:r>
      <w:r w:rsidR="007D4081">
        <w:t>roundwater inputs account for at least 50% of the surface water quality impacts</w:t>
      </w:r>
      <w:r w:rsidR="007D4081">
        <w:rPr>
          <w:sz w:val="20"/>
          <w:vertAlign w:val="superscript"/>
        </w:rPr>
        <w:footnoteReference w:id="22"/>
      </w:r>
      <w:r w:rsidR="007D4081">
        <w:t xml:space="preserve">.  </w:t>
      </w:r>
    </w:p>
    <w:p w14:paraId="1B97257C" w14:textId="6D924152" w:rsidR="007D4081" w:rsidRDefault="0064223F" w:rsidP="00C75AA3">
      <w:pPr>
        <w:pStyle w:val="BodyText1"/>
      </w:pPr>
      <w:r>
        <w:t xml:space="preserve">If it is then you can determine that the </w:t>
      </w:r>
      <w:r w:rsidR="00E558E2">
        <w:t>groundwater status standard for surface water has or will be exceeded.</w:t>
      </w:r>
    </w:p>
    <w:p w14:paraId="6A91CFD4" w14:textId="0FCAABA4" w:rsidR="007D4081" w:rsidRDefault="00E558E2" w:rsidP="00C75AA3">
      <w:pPr>
        <w:pStyle w:val="BodyText1"/>
      </w:pPr>
      <w:r>
        <w:lastRenderedPageBreak/>
        <w:t xml:space="preserve">When you are doing any </w:t>
      </w:r>
      <w:r w:rsidR="007D4081">
        <w:t>dilution calculations</w:t>
      </w:r>
      <w:r>
        <w:t xml:space="preserve"> in surface water</w:t>
      </w:r>
      <w:r w:rsidR="002C119F">
        <w:t xml:space="preserve"> you can consider </w:t>
      </w:r>
      <w:r w:rsidR="007D4081">
        <w:t xml:space="preserve">the input from groundwater as arising from an equivalent pipe discharge. </w:t>
      </w:r>
      <w:r w:rsidR="002C119F">
        <w:t>You can assume i</w:t>
      </w:r>
      <w:r w:rsidR="007D4081">
        <w:t xml:space="preserve">nstantaneous mixing in the surface water </w:t>
      </w:r>
      <w:r w:rsidR="00E34C42">
        <w:t>when</w:t>
      </w:r>
      <w:r w:rsidR="007D4081">
        <w:t xml:space="preserve"> undertaking mass balance calculations.  </w:t>
      </w:r>
    </w:p>
    <w:p w14:paraId="76DEEFD3" w14:textId="1F522950" w:rsidR="007D4081" w:rsidRPr="00956676" w:rsidRDefault="00E34C42" w:rsidP="00C75AA3">
      <w:pPr>
        <w:pStyle w:val="BodyText1"/>
        <w:rPr>
          <w:strike/>
        </w:rPr>
      </w:pPr>
      <w:r>
        <w:t xml:space="preserve">The </w:t>
      </w:r>
      <w:r w:rsidR="007D4081">
        <w:t xml:space="preserve">Surface water calculation methods </w:t>
      </w:r>
      <w:r w:rsidR="001A6F60">
        <w:t xml:space="preserve">you use </w:t>
      </w:r>
      <w:r w:rsidR="007D4081">
        <w:t>to determine the acceptable load from groundwater depend upon the type of water body</w:t>
      </w:r>
      <w:r w:rsidR="00956676">
        <w:t>.</w:t>
      </w:r>
      <w:r w:rsidR="007D4081" w:rsidRPr="00956676">
        <w:rPr>
          <w:strike/>
        </w:rPr>
        <w:t xml:space="preserve"> </w:t>
      </w:r>
    </w:p>
    <w:p w14:paraId="1F3E7DBA" w14:textId="605B1714" w:rsidR="007D4081" w:rsidRDefault="00956676" w:rsidP="00C75AA3">
      <w:pPr>
        <w:pStyle w:val="BodyText1"/>
      </w:pPr>
      <w:r w:rsidRPr="00956676">
        <w:rPr>
          <w:bCs/>
        </w:rPr>
        <w:t>For discharges to c</w:t>
      </w:r>
      <w:r w:rsidR="007D4081" w:rsidRPr="00956676">
        <w:rPr>
          <w:bCs/>
        </w:rPr>
        <w:t>oastal and transitional waters</w:t>
      </w:r>
      <w:r w:rsidR="007D4081">
        <w:t xml:space="preserve"> </w:t>
      </w:r>
      <w:r w:rsidR="00262EFC">
        <w:t>WAT-G-06</w:t>
      </w:r>
      <w:r w:rsidR="00616A5C">
        <w:t>6</w:t>
      </w:r>
      <w:r w:rsidR="00262EFC">
        <w:t xml:space="preserve">, </w:t>
      </w:r>
      <w:r w:rsidR="00262EFC" w:rsidRPr="00262EFC">
        <w:t>EASR Guidance: Permit Activity: Assessing the impact of a discharge on coastal and transitional waters</w:t>
      </w:r>
      <w:r w:rsidR="00050EE9">
        <w:t xml:space="preserve"> </w:t>
      </w:r>
      <w:r>
        <w:t xml:space="preserve">provides some information on how to do this. </w:t>
      </w:r>
      <w:r w:rsidRPr="00026F69">
        <w:t>A</w:t>
      </w:r>
      <w:r w:rsidR="007D4081" w:rsidRPr="00026F69">
        <w:t>lternatively</w:t>
      </w:r>
      <w:r w:rsidR="007E5A85" w:rsidRPr="00026F69">
        <w:t>,</w:t>
      </w:r>
      <w:r w:rsidR="007D4081" w:rsidRPr="00026F69">
        <w:t xml:space="preserve"> </w:t>
      </w:r>
      <w:r w:rsidR="00342254" w:rsidRPr="00026F69">
        <w:t xml:space="preserve">you can calculate this </w:t>
      </w:r>
      <w:r w:rsidR="007D4081" w:rsidRPr="00026F69">
        <w:t>as outlined below:</w:t>
      </w:r>
      <w:r w:rsidR="007D4081">
        <w:t xml:space="preserve"> </w:t>
      </w:r>
    </w:p>
    <w:p w14:paraId="3B6A16DF" w14:textId="77777777" w:rsidR="007D4081" w:rsidRDefault="007D4081" w:rsidP="00C75AA3">
      <w:pPr>
        <w:pStyle w:val="BodyText1"/>
      </w:pPr>
      <w:r>
        <w:t xml:space="preserve">Dilution in coastal &amp; transitional waters = (2 x W x TR x 100) / Q </w:t>
      </w:r>
    </w:p>
    <w:p w14:paraId="6FFC3BBB" w14:textId="77777777" w:rsidR="007D4081" w:rsidRDefault="007D4081" w:rsidP="00C75AA3">
      <w:pPr>
        <w:pStyle w:val="BodyText1"/>
      </w:pPr>
      <w:r>
        <w:t xml:space="preserve">Where: </w:t>
      </w:r>
    </w:p>
    <w:p w14:paraId="3A8C6327" w14:textId="6B708213" w:rsidR="007D4081" w:rsidRDefault="007D4081" w:rsidP="00C75AA3">
      <w:pPr>
        <w:pStyle w:val="BodyText1"/>
      </w:pPr>
      <w:r>
        <w:t xml:space="preserve">W </w:t>
      </w:r>
      <w:r w:rsidR="00133573">
        <w:t>is the g</w:t>
      </w:r>
      <w:r>
        <w:t>roundwater plume width in m</w:t>
      </w:r>
      <w:r w:rsidR="00133573">
        <w:t>.</w:t>
      </w:r>
      <w:r>
        <w:t xml:space="preserve"> </w:t>
      </w:r>
    </w:p>
    <w:p w14:paraId="36C4B080" w14:textId="563AFC7A" w:rsidR="007D4081" w:rsidRDefault="007D4081" w:rsidP="00C75AA3">
      <w:pPr>
        <w:pStyle w:val="BodyText1"/>
      </w:pPr>
      <w:r>
        <w:t xml:space="preserve">TR </w:t>
      </w:r>
      <w:r w:rsidR="00133573">
        <w:t>is the t</w:t>
      </w:r>
      <w:r>
        <w:t>idal range in m, i.e. height difference between mean high and low water</w:t>
      </w:r>
      <w:r w:rsidR="00133573">
        <w:t>.</w:t>
      </w:r>
      <w:r>
        <w:t xml:space="preserve"> </w:t>
      </w:r>
    </w:p>
    <w:p w14:paraId="32B3F678" w14:textId="75AD0381" w:rsidR="007D4081" w:rsidRDefault="007D4081" w:rsidP="00C75AA3">
      <w:pPr>
        <w:pStyle w:val="BodyText1"/>
      </w:pPr>
      <w:r>
        <w:t xml:space="preserve">Q </w:t>
      </w:r>
      <w:r w:rsidR="00133573">
        <w:t xml:space="preserve"> is the g</w:t>
      </w:r>
      <w:r>
        <w:t>roundwater seepage rate in m</w:t>
      </w:r>
      <w:r>
        <w:rPr>
          <w:vertAlign w:val="superscript"/>
        </w:rPr>
        <w:t>3</w:t>
      </w:r>
      <w:r>
        <w:t>/d, i.e. rate at which groundwater emerges from ground at low tide</w:t>
      </w:r>
      <w:r w:rsidR="00133573">
        <w:t>.</w:t>
      </w:r>
    </w:p>
    <w:p w14:paraId="3D031683" w14:textId="49B40D4D" w:rsidR="007D4081" w:rsidRDefault="00342254" w:rsidP="00C75AA3">
      <w:pPr>
        <w:pStyle w:val="BodyText1"/>
      </w:pPr>
      <w:r>
        <w:t>The c</w:t>
      </w:r>
      <w:r w:rsidR="007D4081">
        <w:t xml:space="preserve">alculation assumes a mixing zone of 100 m measured from low tide and two tidal cycles per day.   </w:t>
      </w:r>
    </w:p>
    <w:p w14:paraId="0405066E" w14:textId="126F2EB1" w:rsidR="007D4081" w:rsidRDefault="00342254" w:rsidP="00C75AA3">
      <w:pPr>
        <w:pStyle w:val="BodyText1"/>
      </w:pPr>
      <w:r>
        <w:t>You may be able to use a</w:t>
      </w:r>
      <w:r w:rsidR="007D4081">
        <w:t>lternative approaches to calculating dilution</w:t>
      </w:r>
      <w:r w:rsidR="007D4081">
        <w:rPr>
          <w:sz w:val="20"/>
          <w:vertAlign w:val="superscript"/>
        </w:rPr>
        <w:footnoteReference w:id="23"/>
      </w:r>
      <w:r w:rsidR="007D4081">
        <w:t xml:space="preserve">, including detailed hydraulic modelling. </w:t>
      </w:r>
    </w:p>
    <w:p w14:paraId="4D2B95FC" w14:textId="38F802CD" w:rsidR="00055E93" w:rsidRDefault="00547F70" w:rsidP="00C75AA3">
      <w:pPr>
        <w:pStyle w:val="BodyText1"/>
      </w:pPr>
      <w:r>
        <w:t>You need to take account of t</w:t>
      </w:r>
      <w:r w:rsidR="007D4081">
        <w:t xml:space="preserve">he capacity of the surface waters in accordance with </w:t>
      </w:r>
      <w:r w:rsidR="007D4081" w:rsidRPr="00D04C3F">
        <w:t>WAT-</w:t>
      </w:r>
      <w:r w:rsidR="00D04C3F" w:rsidRPr="00D04C3F">
        <w:t>G-074, EASR Guidance: Protecting and improving water quality</w:t>
      </w:r>
      <w:r w:rsidR="007D4081" w:rsidRPr="00D04C3F">
        <w:t>.</w:t>
      </w:r>
      <w:r w:rsidR="007D4081">
        <w:t xml:space="preserve"> </w:t>
      </w:r>
    </w:p>
    <w:p w14:paraId="412D026B" w14:textId="07CBF455" w:rsidR="00513341" w:rsidRDefault="00055E93" w:rsidP="00C75AA3">
      <w:pPr>
        <w:pStyle w:val="BodyText1"/>
      </w:pPr>
      <w:r>
        <w:t>D</w:t>
      </w:r>
      <w:r w:rsidR="007D4081">
        <w:t xml:space="preserve">iffusion of poor quality groundwater through the hyporheic zone may cause harm to some sensitive species living in or on sediments (for example, fish eggs, freshwater mussels). </w:t>
      </w:r>
      <w:r w:rsidR="00644DE9">
        <w:t>S</w:t>
      </w:r>
      <w:r w:rsidR="007D4081">
        <w:t xml:space="preserve">ignificant harm is more likely from larger sources. In order to minimise the risk to these sensitive species, </w:t>
      </w:r>
      <w:r w:rsidR="00F76B19">
        <w:t>we</w:t>
      </w:r>
      <w:r w:rsidR="007D4081" w:rsidDel="00F76B19">
        <w:t xml:space="preserve"> </w:t>
      </w:r>
      <w:r w:rsidR="007D4081">
        <w:t xml:space="preserve">will consult NatureScot in accordance with agreed procedures. </w:t>
      </w:r>
      <w:r w:rsidR="009625ED">
        <w:t xml:space="preserve">You should </w:t>
      </w:r>
      <w:r w:rsidR="009625ED">
        <w:lastRenderedPageBreak/>
        <w:t xml:space="preserve">apply the </w:t>
      </w:r>
      <w:r w:rsidR="007D4081">
        <w:t xml:space="preserve">relevant Environmental Standard at an assessment point located in groundwater immediately before entry into the surface water; that is, dilution in surface waters will not be considered. </w:t>
      </w:r>
      <w:r w:rsidR="00D1186C">
        <w:t>P</w:t>
      </w:r>
      <w:r w:rsidR="007D4081">
        <w:t xml:space="preserve">arameters can be measured, modelled, or estimated as appropriate to the level of risk posed by the site. </w:t>
      </w:r>
      <w:r w:rsidR="007A6971">
        <w:t xml:space="preserve">If compliance </w:t>
      </w:r>
      <w:r w:rsidR="00F53CF2">
        <w:t>monitoring</w:t>
      </w:r>
      <w:r w:rsidR="007A6971">
        <w:t xml:space="preserve"> is required this should be </w:t>
      </w:r>
      <w:r w:rsidR="001432E1">
        <w:t>undertaken</w:t>
      </w:r>
      <w:r w:rsidR="007D4081">
        <w:t xml:space="preserve"> in groundwater immediately prior to entry into the surface water.  </w:t>
      </w:r>
    </w:p>
    <w:p w14:paraId="2F51609D" w14:textId="2424921B" w:rsidR="007D4081" w:rsidRPr="00684F5A" w:rsidRDefault="00E24C89" w:rsidP="007D4081">
      <w:pPr>
        <w:pStyle w:val="Heading3"/>
        <w:rPr>
          <w:rFonts w:eastAsia="Times New Roman"/>
        </w:rPr>
      </w:pPr>
      <w:bookmarkStart w:id="58" w:name="_Toc193716172"/>
      <w:r>
        <w:rPr>
          <w:rFonts w:eastAsia="Times New Roman"/>
        </w:rPr>
        <w:t>A3.3.5</w:t>
      </w:r>
      <w:r>
        <w:rPr>
          <w:rFonts w:eastAsia="Times New Roman"/>
        </w:rPr>
        <w:tab/>
      </w:r>
      <w:r w:rsidR="007D4081">
        <w:rPr>
          <w:rFonts w:eastAsia="Times New Roman"/>
        </w:rPr>
        <w:t>Assessing potential impacts on abstractions</w:t>
      </w:r>
      <w:bookmarkEnd w:id="58"/>
    </w:p>
    <w:p w14:paraId="21AE7C37" w14:textId="32F43502" w:rsidR="003809C8" w:rsidRDefault="003809C8" w:rsidP="00C75AA3">
      <w:pPr>
        <w:pStyle w:val="BodyText1"/>
      </w:pPr>
      <w:r>
        <w:t xml:space="preserve">Where the assessment point is an existing abstraction, the assessment limit should prevent an increase in the level of purification treatment applied. This means that where treatment is not currently applied for the substance in question, the assessment limit should ensure that future treatment will not be necessary. Where treatment is currently applied to such an abstraction, the assessment limit should ensure that the level of treatment does not increase. In all cases, upgradient concentrations must be taken into account. </w:t>
      </w:r>
    </w:p>
    <w:p w14:paraId="5558DFAF" w14:textId="3FE2DF8E" w:rsidR="003809C8" w:rsidRDefault="003809C8" w:rsidP="00C75AA3">
      <w:pPr>
        <w:pStyle w:val="BodyText1"/>
      </w:pPr>
      <w:r>
        <w:t xml:space="preserve">Where an abstraction exists at or within the distance of the future groundwater resource assessment point, in addition to </w:t>
      </w:r>
      <w:r w:rsidR="1AD306B6">
        <w:t xml:space="preserve">the </w:t>
      </w:r>
      <w:r>
        <w:t xml:space="preserve">calculation of the concentration at the future groundwater resource assessment point, </w:t>
      </w:r>
      <w:r w:rsidR="00430BAF">
        <w:t xml:space="preserve">you </w:t>
      </w:r>
      <w:r>
        <w:t xml:space="preserve">must also </w:t>
      </w:r>
      <w:r w:rsidR="007C7B73">
        <w:t>calculate</w:t>
      </w:r>
      <w:r>
        <w:t xml:space="preserve"> the concentration at the abstraction assessment point, prior to any treatment the abstracted water might receive. The assessment limit </w:t>
      </w:r>
      <w:r w:rsidR="007C7B73">
        <w:t xml:space="preserve">you </w:t>
      </w:r>
      <w:r>
        <w:t xml:space="preserve">adopt should protect both receptors. </w:t>
      </w:r>
      <w:r w:rsidR="007C7B73">
        <w:t>T</w:t>
      </w:r>
      <w:r>
        <w:t xml:space="preserve">he groundwater pollution and status standards for abstractions are based on maximum, rather than annual average, values. </w:t>
      </w:r>
      <w:r w:rsidR="008D3097">
        <w:t>You need to take into account c</w:t>
      </w:r>
      <w:r>
        <w:t xml:space="preserve">oncentration trends when assessing status. </w:t>
      </w:r>
    </w:p>
    <w:p w14:paraId="54B5CAF2" w14:textId="43542D19" w:rsidR="00335550" w:rsidRDefault="00307114" w:rsidP="00764151">
      <w:pPr>
        <w:pStyle w:val="BodyText1"/>
      </w:pPr>
      <w:r>
        <w:t>I</w:t>
      </w:r>
      <w:r w:rsidR="001A64E5">
        <w:t>f</w:t>
      </w:r>
      <w:r>
        <w:t xml:space="preserve"> compliance monitoring is required</w:t>
      </w:r>
      <w:r w:rsidR="0CE5D1DE">
        <w:t>,</w:t>
      </w:r>
      <w:r>
        <w:t xml:space="preserve"> </w:t>
      </w:r>
      <w:r w:rsidR="00002765">
        <w:t>this</w:t>
      </w:r>
      <w:r w:rsidR="00247903">
        <w:t xml:space="preserve"> should </w:t>
      </w:r>
      <w:r w:rsidR="00002765">
        <w:t>be undertaken</w:t>
      </w:r>
      <w:r w:rsidR="003809C8" w:rsidDel="00247903">
        <w:t xml:space="preserve"> </w:t>
      </w:r>
      <w:r w:rsidR="003809C8">
        <w:t xml:space="preserve">in the abstracted groundwater (raw water) prior to any treatment this might receive. </w:t>
      </w:r>
    </w:p>
    <w:p w14:paraId="41CF6547" w14:textId="211AE3B9" w:rsidR="003809C8" w:rsidRDefault="00335550" w:rsidP="00C75AA3">
      <w:pPr>
        <w:pStyle w:val="BodyText1"/>
      </w:pPr>
      <w:r>
        <w:t xml:space="preserve">When </w:t>
      </w:r>
      <w:r w:rsidRPr="00166A3E">
        <w:t>asses</w:t>
      </w:r>
      <w:r>
        <w:t>sing</w:t>
      </w:r>
      <w:r w:rsidRPr="00166A3E">
        <w:t xml:space="preserve"> of risks to potable abstractions </w:t>
      </w:r>
      <w:r>
        <w:t xml:space="preserve">you </w:t>
      </w:r>
      <w:r w:rsidRPr="00166A3E">
        <w:t>should also take into consideration</w:t>
      </w:r>
      <w:r>
        <w:t xml:space="preserve"> </w:t>
      </w:r>
      <w:r w:rsidR="003809C8" w:rsidRPr="00166A3E">
        <w:t>the potential cumulative impact of contaminant concentrations in relation to factors such as colour, taste and odour.</w:t>
      </w:r>
      <w:r w:rsidR="003809C8">
        <w:t xml:space="preserve"> </w:t>
      </w:r>
    </w:p>
    <w:p w14:paraId="139752D5" w14:textId="33E9B847" w:rsidR="007D4081" w:rsidRDefault="00E21D0D" w:rsidP="00133573">
      <w:pPr>
        <w:pStyle w:val="BodyText1"/>
      </w:pPr>
      <w:r>
        <w:t xml:space="preserve">You should contact </w:t>
      </w:r>
      <w:r w:rsidR="003809C8">
        <w:t>SEPA</w:t>
      </w:r>
      <w:r>
        <w:t xml:space="preserve"> prior to </w:t>
      </w:r>
      <w:r w:rsidR="003809C8">
        <w:t>assess</w:t>
      </w:r>
      <w:r>
        <w:t>ing</w:t>
      </w:r>
      <w:r w:rsidR="003809C8" w:rsidDel="00E21D0D">
        <w:t xml:space="preserve"> </w:t>
      </w:r>
      <w:r w:rsidR="003809C8">
        <w:t xml:space="preserve">impacts </w:t>
      </w:r>
      <w:r w:rsidR="00CC4B7D">
        <w:t>on</w:t>
      </w:r>
      <w:r w:rsidR="003809C8">
        <w:t xml:space="preserve"> existing abstractions for human consumption.  </w:t>
      </w:r>
    </w:p>
    <w:p w14:paraId="412A94CC" w14:textId="675CDBE0" w:rsidR="003809C8" w:rsidRPr="00684F5A" w:rsidRDefault="00E24C89" w:rsidP="003809C8">
      <w:pPr>
        <w:pStyle w:val="Heading3"/>
        <w:rPr>
          <w:rFonts w:eastAsia="Times New Roman"/>
        </w:rPr>
      </w:pPr>
      <w:bookmarkStart w:id="59" w:name="_Toc193716173"/>
      <w:r>
        <w:rPr>
          <w:rFonts w:eastAsia="Times New Roman"/>
        </w:rPr>
        <w:lastRenderedPageBreak/>
        <w:t>A3.3.</w:t>
      </w:r>
      <w:r w:rsidR="003559F5">
        <w:rPr>
          <w:rFonts w:eastAsia="Times New Roman"/>
        </w:rPr>
        <w:t>6</w:t>
      </w:r>
      <w:r w:rsidR="003559F5">
        <w:rPr>
          <w:rFonts w:eastAsia="Times New Roman"/>
        </w:rPr>
        <w:tab/>
      </w:r>
      <w:r w:rsidR="003809C8">
        <w:rPr>
          <w:rFonts w:eastAsia="Times New Roman"/>
        </w:rPr>
        <w:t xml:space="preserve">Assessing potential impacts on groundwater </w:t>
      </w:r>
      <w:r w:rsidR="003809C8" w:rsidRPr="00C75AA3">
        <w:rPr>
          <w:rFonts w:eastAsia="Times New Roman"/>
        </w:rPr>
        <w:t>terrestrial ecosystems</w:t>
      </w:r>
      <w:bookmarkEnd w:id="59"/>
    </w:p>
    <w:p w14:paraId="1543BA05" w14:textId="5CC0CA13" w:rsidR="0049095B" w:rsidRDefault="0049095B" w:rsidP="00C75AA3">
      <w:pPr>
        <w:pStyle w:val="BodyText1"/>
      </w:pPr>
      <w:r>
        <w:t xml:space="preserve">Groundwater dependent terrestrial ecosystems (GWDTE), which are wetlands that are wholly or partially reliant on groundwater, can be damaged by contaminated groundwater. </w:t>
      </w:r>
    </w:p>
    <w:p w14:paraId="6A0417F4" w14:textId="3927B125" w:rsidR="0049095B" w:rsidRDefault="0049095B" w:rsidP="00C75AA3">
      <w:pPr>
        <w:pStyle w:val="BodyText1"/>
      </w:pPr>
      <w:r>
        <w:t xml:space="preserve">There can be many pressures affecting a wetland, e.g. vegetation management, however this procedure only relates to chemical pressures transmitted through groundwater. </w:t>
      </w:r>
    </w:p>
    <w:p w14:paraId="2BD1AC6A" w14:textId="4407A2B0" w:rsidR="00416B9F" w:rsidRDefault="0049095B" w:rsidP="00C75AA3">
      <w:pPr>
        <w:pStyle w:val="BodyText1"/>
      </w:pPr>
      <w:r>
        <w:t>Criteria on which significant damage to a GWDTE is based is set out in EU CIS technical report no 6</w:t>
      </w:r>
      <w:r>
        <w:rPr>
          <w:vertAlign w:val="superscript"/>
        </w:rPr>
        <w:footnoteReference w:id="24"/>
      </w:r>
      <w:r>
        <w:t xml:space="preserve"> . For example, for GWDTE that are part of the designation of Natura 2000 nature conservation sites, significant damage can equate to failure to meet conservation targets.  </w:t>
      </w:r>
    </w:p>
    <w:p w14:paraId="7ECFC45E" w14:textId="14975615" w:rsidR="0049095B" w:rsidRDefault="00416B9F" w:rsidP="00C75AA3">
      <w:pPr>
        <w:pStyle w:val="BodyText1"/>
      </w:pPr>
      <w:r>
        <w:t>You should assess the impact o</w:t>
      </w:r>
      <w:r w:rsidR="00FB16F8">
        <w:t>n</w:t>
      </w:r>
      <w:r>
        <w:t xml:space="preserve"> any GWDTE. </w:t>
      </w:r>
      <w:r w:rsidR="0049095B">
        <w:t xml:space="preserve">The assessment point </w:t>
      </w:r>
      <w:r>
        <w:t xml:space="preserve">you should use </w:t>
      </w:r>
      <w:r w:rsidR="0049095B">
        <w:t xml:space="preserve">for the GWDTE should be: </w:t>
      </w:r>
    </w:p>
    <w:p w14:paraId="03AD3BAB" w14:textId="73F921DC" w:rsidR="0049095B" w:rsidRDefault="00AF16A4" w:rsidP="00C75AA3">
      <w:pPr>
        <w:pStyle w:val="BodyText1"/>
        <w:numPr>
          <w:ilvl w:val="0"/>
          <w:numId w:val="89"/>
        </w:numPr>
      </w:pPr>
      <w:r>
        <w:t>L</w:t>
      </w:r>
      <w:r w:rsidR="0049095B">
        <w:t xml:space="preserve">ocated at the up-gradient boundary of the wetland in the relevant groundwater flow path; and </w:t>
      </w:r>
    </w:p>
    <w:p w14:paraId="27D6C9CB" w14:textId="3794F2A7" w:rsidR="0049095B" w:rsidRDefault="00AF16A4" w:rsidP="00C75AA3">
      <w:pPr>
        <w:pStyle w:val="BodyText1"/>
        <w:numPr>
          <w:ilvl w:val="0"/>
          <w:numId w:val="89"/>
        </w:numPr>
      </w:pPr>
      <w:r>
        <w:t>I</w:t>
      </w:r>
      <w:r w:rsidR="0049095B">
        <w:t xml:space="preserve">n groundwater that is hydraulically linked to the GWDTE such that the groundwater containing the source/plume is likely to be the irrigation source that critically supplies the GWDTE. </w:t>
      </w:r>
    </w:p>
    <w:p w14:paraId="76082CD6" w14:textId="2D48B916" w:rsidR="0049095B" w:rsidRDefault="0049095B" w:rsidP="00C75AA3">
      <w:pPr>
        <w:pStyle w:val="BodyText1"/>
      </w:pPr>
      <w:r>
        <w:t>Where more than one hydrogeological unit is present at a GWDTE,</w:t>
      </w:r>
      <w:r w:rsidR="00D4102E">
        <w:t xml:space="preserve"> you can often use</w:t>
      </w:r>
      <w:r>
        <w:t xml:space="preserve"> the vegetation composition of the GWDTE to identify the groundwater source. </w:t>
      </w:r>
      <w:r w:rsidR="00AF16A4">
        <w:t>W</w:t>
      </w:r>
      <w:r>
        <w:t xml:space="preserve">here uncertainty </w:t>
      </w:r>
      <w:r w:rsidDel="00AF16A4">
        <w:t>exists</w:t>
      </w:r>
      <w:r w:rsidR="00AF16A4">
        <w:t>, you should seek advice</w:t>
      </w:r>
      <w:r>
        <w:t xml:space="preserve"> from a qualified wetland ecologist. </w:t>
      </w:r>
    </w:p>
    <w:p w14:paraId="32AD0182" w14:textId="55297535" w:rsidR="0049095B" w:rsidRDefault="00AF77F1" w:rsidP="00C75AA3">
      <w:pPr>
        <w:pStyle w:val="BodyText1"/>
      </w:pPr>
      <w:r>
        <w:t>You can find t</w:t>
      </w:r>
      <w:r w:rsidR="0049095B">
        <w:t>hreshold</w:t>
      </w:r>
      <w:r w:rsidR="0049095B" w:rsidRPr="00AC74BD">
        <w:t xml:space="preserve"> </w:t>
      </w:r>
      <w:r w:rsidR="0049095B">
        <w:t>V</w:t>
      </w:r>
      <w:r w:rsidR="0049095B" w:rsidRPr="00AC74BD">
        <w:t>alues</w:t>
      </w:r>
      <w:r w:rsidR="0049095B">
        <w:t xml:space="preserve"> for nitrates in wetlands</w:t>
      </w:r>
      <w:r w:rsidR="0049095B" w:rsidRPr="00AC74BD">
        <w:t xml:space="preserve"> in Schedule 6 of the 202</w:t>
      </w:r>
      <w:r>
        <w:t>4</w:t>
      </w:r>
      <w:r w:rsidR="0049095B" w:rsidRPr="00AC74BD">
        <w:t xml:space="preserve"> Directions. These values identify acceptable limits for nitrate concentrations in </w:t>
      </w:r>
      <w:r w:rsidR="0049095B">
        <w:t xml:space="preserve">groundwater in </w:t>
      </w:r>
      <w:r w:rsidR="0049095B" w:rsidRPr="00AC74BD">
        <w:t>different wetland types at the relevant wetland assessment point. The standards are dependent on the type of GWDTE which is impacted. The wetland types are set out in Schedule 1 of the 202</w:t>
      </w:r>
      <w:r>
        <w:t>4</w:t>
      </w:r>
      <w:r w:rsidR="0049095B" w:rsidRPr="00AC74BD">
        <w:t xml:space="preserve"> Directions.</w:t>
      </w:r>
      <w:r w:rsidR="0049095B">
        <w:t xml:space="preserve">  </w:t>
      </w:r>
    </w:p>
    <w:p w14:paraId="0B11360B" w14:textId="77777777" w:rsidR="00A92952" w:rsidRPr="00A92952" w:rsidRDefault="0049095B" w:rsidP="00A92952">
      <w:pPr>
        <w:pStyle w:val="BodyText1"/>
      </w:pPr>
      <w:r w:rsidRPr="00A92952">
        <w:lastRenderedPageBreak/>
        <w:t xml:space="preserve">Exceedance of these values does not automatically mean that the wetland that receives this water would be damaged, but that the risk of damage is significant. </w:t>
      </w:r>
    </w:p>
    <w:p w14:paraId="1A417C4C" w14:textId="77777777" w:rsidR="00A92952" w:rsidRPr="00A92952" w:rsidRDefault="00A92952" w:rsidP="00A92952">
      <w:pPr>
        <w:pStyle w:val="BodyText1"/>
      </w:pPr>
      <w:r w:rsidRPr="00A92952">
        <w:t>Water quality standards for other pollutants specific to Scottish wetlands have not yet been developed. You will need to consult a qualified wetland ecologist to assess if other pollutants could cause significant damage and the concentrations that may cause significant damage</w:t>
      </w:r>
      <w:r w:rsidRPr="00A92952">
        <w:footnoteReference w:id="25"/>
      </w:r>
      <w:r w:rsidRPr="00A92952">
        <w:t xml:space="preserve">. </w:t>
      </w:r>
    </w:p>
    <w:p w14:paraId="5743052E" w14:textId="7AED9483" w:rsidR="003809C8" w:rsidRPr="00A92952" w:rsidRDefault="00C272E5" w:rsidP="00A92952">
      <w:pPr>
        <w:pStyle w:val="BodyText1"/>
      </w:pPr>
      <w:r w:rsidRPr="00A92952">
        <w:t>If</w:t>
      </w:r>
      <w:r w:rsidR="00E740DA" w:rsidRPr="00A92952">
        <w:t xml:space="preserve"> c</w:t>
      </w:r>
      <w:r w:rsidR="0049095B" w:rsidRPr="00A92952">
        <w:t>ompliance</w:t>
      </w:r>
      <w:r w:rsidRPr="00A92952">
        <w:t xml:space="preserve"> monitoring is required</w:t>
      </w:r>
      <w:r w:rsidR="7F12809F" w:rsidRPr="00A92952">
        <w:t>,</w:t>
      </w:r>
      <w:r w:rsidRPr="00A92952">
        <w:t xml:space="preserve"> this should be undertaken</w:t>
      </w:r>
      <w:r w:rsidR="0049095B" w:rsidRPr="00A92952">
        <w:t xml:space="preserve"> in groundwater immediately prior to entry into the GWDTE</w:t>
      </w:r>
      <w:r w:rsidR="00473AFE" w:rsidRPr="00A92952">
        <w:t>.</w:t>
      </w:r>
      <w:r w:rsidR="0049095B" w:rsidRPr="00A92952">
        <w:t xml:space="preserve"> </w:t>
      </w:r>
      <w:r w:rsidR="00473AFE" w:rsidRPr="00A92952">
        <w:t xml:space="preserve">You should locate any </w:t>
      </w:r>
      <w:r w:rsidR="0049095B" w:rsidRPr="00A92952">
        <w:t xml:space="preserve">compliance point at </w:t>
      </w:r>
      <w:r w:rsidR="00473AFE" w:rsidRPr="00A92952">
        <w:t>an</w:t>
      </w:r>
      <w:r w:rsidR="0049095B" w:rsidRPr="00A92952">
        <w:t xml:space="preserve"> appropriate location and depth along the pathway to the GWDTE to monitor the pollutant plume.   </w:t>
      </w:r>
    </w:p>
    <w:p w14:paraId="68A9A0D2" w14:textId="4D0742B6" w:rsidR="0049095B" w:rsidRPr="00684F5A" w:rsidRDefault="003559F5" w:rsidP="0049095B">
      <w:pPr>
        <w:pStyle w:val="Heading2"/>
        <w:rPr>
          <w:rFonts w:eastAsia="Times New Roman"/>
        </w:rPr>
      </w:pPr>
      <w:bookmarkStart w:id="60" w:name="_Toc193716174"/>
      <w:r>
        <w:rPr>
          <w:rFonts w:eastAsia="Times New Roman"/>
        </w:rPr>
        <w:t>A3.4</w:t>
      </w:r>
      <w:r>
        <w:rPr>
          <w:rFonts w:eastAsia="Times New Roman"/>
        </w:rPr>
        <w:tab/>
      </w:r>
      <w:r w:rsidR="0049095B">
        <w:rPr>
          <w:rFonts w:eastAsia="Times New Roman"/>
        </w:rPr>
        <w:t xml:space="preserve">Tier </w:t>
      </w:r>
      <w:r w:rsidR="00E5175A">
        <w:rPr>
          <w:rFonts w:eastAsia="Times New Roman"/>
        </w:rPr>
        <w:t>3</w:t>
      </w:r>
      <w:r w:rsidR="0049095B">
        <w:rPr>
          <w:rFonts w:eastAsia="Times New Roman"/>
        </w:rPr>
        <w:t xml:space="preserve"> </w:t>
      </w:r>
      <w:r w:rsidR="00E5175A">
        <w:rPr>
          <w:rFonts w:eastAsia="Times New Roman"/>
        </w:rPr>
        <w:t>D</w:t>
      </w:r>
      <w:r w:rsidR="0049095B">
        <w:rPr>
          <w:rFonts w:eastAsia="Times New Roman"/>
        </w:rPr>
        <w:t xml:space="preserve">QRA </w:t>
      </w:r>
      <w:r w:rsidR="00202D27">
        <w:rPr>
          <w:rFonts w:eastAsia="Times New Roman"/>
        </w:rPr>
        <w:t>including natural attenuation</w:t>
      </w:r>
      <w:bookmarkEnd w:id="60"/>
    </w:p>
    <w:p w14:paraId="7FF65C05" w14:textId="735A0737" w:rsidR="00E05538" w:rsidRDefault="006637C7" w:rsidP="00C75AA3">
      <w:pPr>
        <w:pStyle w:val="BodyText1"/>
      </w:pPr>
      <w:r>
        <w:t xml:space="preserve">To carry out a </w:t>
      </w:r>
      <w:r w:rsidR="00E05538">
        <w:t xml:space="preserve">Tier 3 assessment </w:t>
      </w:r>
      <w:r>
        <w:t xml:space="preserve">you need to undertake </w:t>
      </w:r>
      <w:r w:rsidR="00E05538">
        <w:t xml:space="preserve">a detailed quantitative risk assessment (DQRA) to determine whether natural attenuation processes are sufficient to prevent the standards being exceeded. </w:t>
      </w:r>
      <w:r w:rsidR="00B36B3B">
        <w:t>Your</w:t>
      </w:r>
      <w:r w:rsidR="00E05538" w:rsidDel="00B36B3B">
        <w:t xml:space="preserve"> </w:t>
      </w:r>
      <w:r w:rsidR="00E05538">
        <w:t xml:space="preserve">DQRA must be supported by site-specific evidence obtained from site investigation and/or groundwater monitoring. </w:t>
      </w:r>
      <w:r w:rsidR="00B36B3B">
        <w:t>You should only use l</w:t>
      </w:r>
      <w:r w:rsidR="00E05538">
        <w:t>iterature values</w:t>
      </w:r>
      <w:r w:rsidR="00E05538" w:rsidDel="00B36B3B">
        <w:t xml:space="preserve"> </w:t>
      </w:r>
      <w:r w:rsidR="00E05538">
        <w:t xml:space="preserve">if </w:t>
      </w:r>
      <w:r w:rsidR="00B36B3B">
        <w:t xml:space="preserve">you can </w:t>
      </w:r>
      <w:r w:rsidR="00CB7AA0">
        <w:t xml:space="preserve">adequately </w:t>
      </w:r>
      <w:r w:rsidR="00B36B3B">
        <w:t xml:space="preserve">demonstrate </w:t>
      </w:r>
      <w:r w:rsidR="00E05538">
        <w:t xml:space="preserve">their relevance to the hydrogeological conditions at the site in question. </w:t>
      </w:r>
    </w:p>
    <w:p w14:paraId="14C2E02A" w14:textId="5FD3C150" w:rsidR="00E05538" w:rsidRDefault="00E05538" w:rsidP="00C75AA3">
      <w:pPr>
        <w:pStyle w:val="BodyText1"/>
      </w:pPr>
      <w:r>
        <w:t xml:space="preserve">Unless previously explicitly stated otherwise (e.g. in A3.3.2), </w:t>
      </w:r>
      <w:r w:rsidR="00CB7AA0">
        <w:t xml:space="preserve">you can take into account </w:t>
      </w:r>
      <w:r>
        <w:t xml:space="preserve">natural attenuation: </w:t>
      </w:r>
    </w:p>
    <w:p w14:paraId="131E6CD3" w14:textId="26501118" w:rsidR="00E05538" w:rsidRDefault="00E05538" w:rsidP="00C75AA3">
      <w:pPr>
        <w:pStyle w:val="BodyText1"/>
        <w:numPr>
          <w:ilvl w:val="0"/>
          <w:numId w:val="91"/>
        </w:numPr>
      </w:pPr>
      <w:r>
        <w:t>In the unsaturated zone prior to entry into groundwater</w:t>
      </w:r>
      <w:r w:rsidR="00CB7AA0">
        <w:t>.</w:t>
      </w:r>
      <w:r>
        <w:t xml:space="preserve"> </w:t>
      </w:r>
    </w:p>
    <w:p w14:paraId="11418BA9" w14:textId="7C1B602C" w:rsidR="00E05538" w:rsidRDefault="00E05538" w:rsidP="00C75AA3">
      <w:pPr>
        <w:pStyle w:val="BodyText1"/>
        <w:numPr>
          <w:ilvl w:val="0"/>
          <w:numId w:val="91"/>
        </w:numPr>
      </w:pPr>
      <w:r>
        <w:t>In the saturated zone between the source and the assessment point</w:t>
      </w:r>
      <w:r w:rsidR="00CB7AA0">
        <w:t>.</w:t>
      </w:r>
      <w:r>
        <w:t xml:space="preserve">  </w:t>
      </w:r>
    </w:p>
    <w:p w14:paraId="1A977DEE" w14:textId="38DA8700" w:rsidR="00E05538" w:rsidRDefault="00CB7AA0" w:rsidP="00C75AA3">
      <w:pPr>
        <w:pStyle w:val="BodyText1"/>
      </w:pPr>
      <w:r>
        <w:t>You must not take n</w:t>
      </w:r>
      <w:r w:rsidR="00E05538">
        <w:t xml:space="preserve">atural attenuation into consideration: </w:t>
      </w:r>
    </w:p>
    <w:p w14:paraId="40C6DB64" w14:textId="42978E56" w:rsidR="00E05538" w:rsidRDefault="00E05538" w:rsidP="00C75AA3">
      <w:pPr>
        <w:pStyle w:val="BodyText1"/>
        <w:numPr>
          <w:ilvl w:val="0"/>
          <w:numId w:val="92"/>
        </w:numPr>
      </w:pPr>
      <w:r>
        <w:t>In the hyporheic zone when assessing risks to surface waters</w:t>
      </w:r>
      <w:r w:rsidR="00CB7AA0">
        <w:t>.</w:t>
      </w:r>
      <w:r>
        <w:t xml:space="preserve"> </w:t>
      </w:r>
    </w:p>
    <w:p w14:paraId="27DB738E" w14:textId="3279D003" w:rsidR="00E05538" w:rsidRDefault="00E05538" w:rsidP="00C75AA3">
      <w:pPr>
        <w:pStyle w:val="BodyText1"/>
        <w:numPr>
          <w:ilvl w:val="0"/>
          <w:numId w:val="92"/>
        </w:numPr>
      </w:pPr>
      <w:r>
        <w:lastRenderedPageBreak/>
        <w:t>Within surface water features</w:t>
      </w:r>
      <w:r w:rsidR="00CB7AA0">
        <w:t>.</w:t>
      </w:r>
    </w:p>
    <w:p w14:paraId="783709F0" w14:textId="29AC936F" w:rsidR="00E05538" w:rsidRDefault="00E05538" w:rsidP="001C37C0">
      <w:pPr>
        <w:pStyle w:val="BodyText1"/>
        <w:numPr>
          <w:ilvl w:val="0"/>
          <w:numId w:val="92"/>
        </w:numPr>
      </w:pPr>
      <w:r>
        <w:t xml:space="preserve">Within groundwater dependent terrestrial ecosystems. </w:t>
      </w:r>
    </w:p>
    <w:p w14:paraId="21AC25A5" w14:textId="28A68BD8" w:rsidR="00E05538" w:rsidRDefault="00CB7AA0" w:rsidP="00C75AA3">
      <w:pPr>
        <w:pStyle w:val="BodyText1"/>
      </w:pPr>
      <w:r>
        <w:t>T</w:t>
      </w:r>
      <w:r w:rsidR="00E05538">
        <w:t xml:space="preserve">he subsurface has a limited and finite ability to retard contaminants. For inputs that will continue over long time scales (e.g. decades), </w:t>
      </w:r>
      <w:r w:rsidR="001848A1">
        <w:t xml:space="preserve">you should </w:t>
      </w:r>
      <w:r w:rsidR="00E05538">
        <w:t xml:space="preserve">not place significant reliance on retardation processes that might significantly decline, stop or be reversed.  </w:t>
      </w:r>
    </w:p>
    <w:p w14:paraId="254F2776" w14:textId="45C2F6B4" w:rsidR="0049095B" w:rsidRDefault="007145D4" w:rsidP="001C37C0">
      <w:pPr>
        <w:pStyle w:val="BodyText1"/>
      </w:pPr>
      <w:r>
        <w:t>You should only consider d</w:t>
      </w:r>
      <w:r w:rsidR="00E05538">
        <w:t>egradation</w:t>
      </w:r>
      <w:r w:rsidR="00E05538" w:rsidDel="007145D4">
        <w:t xml:space="preserve"> </w:t>
      </w:r>
      <w:r w:rsidR="00E05538">
        <w:t xml:space="preserve">where the ground conditions are consistent with it plausibly occurring. </w:t>
      </w:r>
      <w:r>
        <w:t xml:space="preserve">You </w:t>
      </w:r>
      <w:r w:rsidR="00AB5036">
        <w:t>must also take into account t</w:t>
      </w:r>
      <w:r w:rsidR="00E05538">
        <w:t xml:space="preserve">he impacts of the resultant daughter products.  </w:t>
      </w:r>
    </w:p>
    <w:p w14:paraId="7D592F6A" w14:textId="1E1FE187" w:rsidR="00E05538" w:rsidRDefault="00E05538" w:rsidP="00E05538">
      <w:pPr>
        <w:pStyle w:val="Heading1"/>
        <w:rPr>
          <w:rFonts w:eastAsia="Times New Roman"/>
        </w:rPr>
      </w:pPr>
      <w:bookmarkStart w:id="61" w:name="_Toc193716175"/>
      <w:r>
        <w:rPr>
          <w:rFonts w:eastAsia="Times New Roman"/>
        </w:rPr>
        <w:t>Annex 4 Assessing future groundwater resource potential in superficial deposits</w:t>
      </w:r>
      <w:bookmarkEnd w:id="61"/>
      <w:r>
        <w:rPr>
          <w:rFonts w:eastAsia="Times New Roman"/>
        </w:rPr>
        <w:t xml:space="preserve"> </w:t>
      </w:r>
    </w:p>
    <w:p w14:paraId="50F3330A" w14:textId="77777777" w:rsidR="0049095B" w:rsidRDefault="0049095B" w:rsidP="00300969"/>
    <w:p w14:paraId="6B392056" w14:textId="65285975" w:rsidR="00E05538" w:rsidRPr="00684F5A" w:rsidRDefault="0038641D" w:rsidP="00E05538">
      <w:pPr>
        <w:pStyle w:val="Heading2"/>
        <w:rPr>
          <w:rFonts w:eastAsia="Times New Roman"/>
        </w:rPr>
      </w:pPr>
      <w:bookmarkStart w:id="62" w:name="_Toc193716176"/>
      <w:r>
        <w:rPr>
          <w:rFonts w:eastAsia="Times New Roman"/>
        </w:rPr>
        <w:t>A4.1</w:t>
      </w:r>
      <w:r>
        <w:rPr>
          <w:rFonts w:eastAsia="Times New Roman"/>
        </w:rPr>
        <w:tab/>
      </w:r>
      <w:r w:rsidR="00E05538">
        <w:rPr>
          <w:rFonts w:eastAsia="Times New Roman"/>
        </w:rPr>
        <w:t>Background</w:t>
      </w:r>
      <w:bookmarkEnd w:id="62"/>
    </w:p>
    <w:p w14:paraId="14C291D3" w14:textId="000D8AE3" w:rsidR="004E4686" w:rsidRDefault="004E4686" w:rsidP="00C75AA3">
      <w:pPr>
        <w:pStyle w:val="BodyText1"/>
      </w:pPr>
      <w:r>
        <w:t xml:space="preserve">All groundwater within superficial deposits that have been mapped by SEPA as groundwater bodies is considered to have resource potential.  </w:t>
      </w:r>
    </w:p>
    <w:p w14:paraId="04E819B6" w14:textId="1EE8F616" w:rsidR="004E4686" w:rsidRDefault="004E4686" w:rsidP="00C75AA3">
      <w:pPr>
        <w:pStyle w:val="BodyText1"/>
      </w:pPr>
      <w:r>
        <w:t xml:space="preserve">However, most superficial deposits are considered to be part of an amalgamated superficial/bedrock groundwater body. Some of these superficial deposits, </w:t>
      </w:r>
      <w:r w:rsidRPr="00166A3E">
        <w:t>particularly where clay-rich,</w:t>
      </w:r>
      <w:r>
        <w:t xml:space="preserve"> have low potential as a future groundwater resource. This annex sets out broad guidelines on the type of investigations that SEPA will consider acceptable for determining whether groundwater within superficial deposits that are not currently mapped by SEPA as individual groundwater bodies has future groundwater resource potential. This methodology only applies to onshore superficial deposits, located inland of the mean high water springs tidal limit.  </w:t>
      </w:r>
    </w:p>
    <w:p w14:paraId="42628DA2" w14:textId="70EDBD91" w:rsidR="0049095B" w:rsidRDefault="004E4686" w:rsidP="00C75AA3">
      <w:pPr>
        <w:pStyle w:val="BodyText1"/>
      </w:pPr>
      <w:r>
        <w:t>Assessing the supply capacity of groundwater beneath the site will enable correct location of the assessment and compliance points to protect the future groundwater resource.</w:t>
      </w:r>
    </w:p>
    <w:p w14:paraId="3190EAE4" w14:textId="49EE99CF" w:rsidR="004E4686" w:rsidRPr="00684F5A" w:rsidRDefault="009C2EA2" w:rsidP="004E4686">
      <w:pPr>
        <w:pStyle w:val="Heading2"/>
        <w:rPr>
          <w:rFonts w:eastAsia="Times New Roman"/>
        </w:rPr>
      </w:pPr>
      <w:bookmarkStart w:id="63" w:name="_Toc193716177"/>
      <w:r>
        <w:rPr>
          <w:rFonts w:eastAsia="Times New Roman"/>
        </w:rPr>
        <w:t>A4.2</w:t>
      </w:r>
      <w:r>
        <w:rPr>
          <w:rFonts w:eastAsia="Times New Roman"/>
        </w:rPr>
        <w:tab/>
      </w:r>
      <w:r w:rsidR="004E4686">
        <w:rPr>
          <w:rFonts w:eastAsia="Times New Roman"/>
        </w:rPr>
        <w:t>Recommended approach</w:t>
      </w:r>
      <w:bookmarkEnd w:id="63"/>
    </w:p>
    <w:p w14:paraId="282B6DAD" w14:textId="57A510B4" w:rsidR="00045458" w:rsidRDefault="00045458" w:rsidP="00C75AA3">
      <w:pPr>
        <w:pStyle w:val="BodyText1"/>
      </w:pPr>
      <w:r>
        <w:t xml:space="preserve">The methodology described below consists of three stages of increasing complexity and cost aimed at assessing whether the superficial deposits above bedrock fulfil the UK TAG criteria for </w:t>
      </w:r>
      <w:r>
        <w:lastRenderedPageBreak/>
        <w:t xml:space="preserve">a groundwater body. </w:t>
      </w:r>
      <w:r w:rsidR="00523813">
        <w:t>If you wish</w:t>
      </w:r>
      <w:r w:rsidDel="00523813">
        <w:t xml:space="preserve"> </w:t>
      </w:r>
      <w:r>
        <w:t xml:space="preserve">to use this approach </w:t>
      </w:r>
      <w:r w:rsidR="00523813">
        <w:t xml:space="preserve">you </w:t>
      </w:r>
      <w:r>
        <w:t xml:space="preserve">should start at Stage 1 as appropriate and continue to the next stage(s) as necessary. </w:t>
      </w:r>
      <w:r w:rsidR="00A20D36">
        <w:t>You</w:t>
      </w:r>
      <w:r>
        <w:t xml:space="preserve"> should be aware that SEPA will use the ‘weight of evidence’ from the investigation to decide the resource potential of the deposit. </w:t>
      </w:r>
    </w:p>
    <w:p w14:paraId="75FC9029" w14:textId="77777777" w:rsidR="00045458" w:rsidRDefault="00045458" w:rsidP="00C75AA3">
      <w:pPr>
        <w:pStyle w:val="BodyText1"/>
      </w:pPr>
      <w:r>
        <w:t xml:space="preserve">SEPA will make a final decision on whether or not the stratum should be considered to have resource value based upon the following properties of the superficial deposit: </w:t>
      </w:r>
    </w:p>
    <w:p w14:paraId="75337671" w14:textId="727EB642" w:rsidR="00045458" w:rsidRDefault="00A20D36" w:rsidP="00C75AA3">
      <w:pPr>
        <w:pStyle w:val="BodyText1"/>
        <w:numPr>
          <w:ilvl w:val="0"/>
          <w:numId w:val="93"/>
        </w:numPr>
      </w:pPr>
      <w:r>
        <w:t>A</w:t>
      </w:r>
      <w:r w:rsidR="00045458">
        <w:t>real extent</w:t>
      </w:r>
      <w:r>
        <w:t>.</w:t>
      </w:r>
      <w:r w:rsidR="00045458">
        <w:t xml:space="preserve"> </w:t>
      </w:r>
    </w:p>
    <w:p w14:paraId="5253CF80" w14:textId="0222FF43" w:rsidR="00045458" w:rsidRDefault="00A20D36" w:rsidP="00C75AA3">
      <w:pPr>
        <w:pStyle w:val="BodyText1"/>
        <w:numPr>
          <w:ilvl w:val="0"/>
          <w:numId w:val="93"/>
        </w:numPr>
      </w:pPr>
      <w:r>
        <w:t>A</w:t>
      </w:r>
      <w:r w:rsidR="00045458">
        <w:t>verage thickness</w:t>
      </w:r>
      <w:r>
        <w:t>.</w:t>
      </w:r>
      <w:r w:rsidR="00045458">
        <w:t xml:space="preserve"> </w:t>
      </w:r>
    </w:p>
    <w:p w14:paraId="744C447A" w14:textId="13A7556E" w:rsidR="00045458" w:rsidRDefault="00A20D36" w:rsidP="00C75AA3">
      <w:pPr>
        <w:pStyle w:val="BodyText1"/>
        <w:numPr>
          <w:ilvl w:val="0"/>
          <w:numId w:val="93"/>
        </w:numPr>
      </w:pPr>
      <w:r>
        <w:t>P</w:t>
      </w:r>
      <w:r w:rsidR="00045458">
        <w:t>hysical properties</w:t>
      </w:r>
      <w:r>
        <w:t>.</w:t>
      </w:r>
      <w:r w:rsidR="00045458">
        <w:t xml:space="preserve"> </w:t>
      </w:r>
    </w:p>
    <w:p w14:paraId="40024153" w14:textId="6D7F8CAC" w:rsidR="004E4686" w:rsidRDefault="00A20D36" w:rsidP="007147C2">
      <w:pPr>
        <w:pStyle w:val="BodyText1"/>
        <w:numPr>
          <w:ilvl w:val="0"/>
          <w:numId w:val="93"/>
        </w:numPr>
      </w:pPr>
      <w:r>
        <w:t>P</w:t>
      </w:r>
      <w:r w:rsidR="00045458">
        <w:t xml:space="preserve">ermeability / productivity. </w:t>
      </w:r>
    </w:p>
    <w:p w14:paraId="48EF5ED0" w14:textId="0B816D42" w:rsidR="00045458" w:rsidRPr="00684F5A" w:rsidRDefault="009C2EA2" w:rsidP="0057694C">
      <w:pPr>
        <w:pStyle w:val="Heading3"/>
        <w:rPr>
          <w:rFonts w:eastAsia="Times New Roman"/>
        </w:rPr>
      </w:pPr>
      <w:bookmarkStart w:id="64" w:name="_Toc193716178"/>
      <w:r>
        <w:rPr>
          <w:rFonts w:eastAsia="Times New Roman"/>
        </w:rPr>
        <w:t>A4.2.1</w:t>
      </w:r>
      <w:r>
        <w:rPr>
          <w:rFonts w:eastAsia="Times New Roman"/>
        </w:rPr>
        <w:tab/>
      </w:r>
      <w:r w:rsidR="00CF692B">
        <w:rPr>
          <w:rFonts w:eastAsia="Times New Roman"/>
        </w:rPr>
        <w:t>Stage 1: Prior to site investigation</w:t>
      </w:r>
      <w:bookmarkEnd w:id="64"/>
      <w:r w:rsidR="00CF692B">
        <w:rPr>
          <w:rFonts w:eastAsia="Times New Roman"/>
        </w:rPr>
        <w:t xml:space="preserve"> </w:t>
      </w:r>
    </w:p>
    <w:p w14:paraId="7121AF15" w14:textId="0CA867E8" w:rsidR="002339E8" w:rsidRDefault="001F5684" w:rsidP="00C75AA3">
      <w:pPr>
        <w:pStyle w:val="BodyText1"/>
      </w:pPr>
      <w:r>
        <w:t>You shou</w:t>
      </w:r>
      <w:r w:rsidR="006F485B">
        <w:t xml:space="preserve">ld start by assuming </w:t>
      </w:r>
      <w:r w:rsidR="002339E8">
        <w:t xml:space="preserve">that all saturated natural superficial strata have future groundwater resources potential.  </w:t>
      </w:r>
    </w:p>
    <w:p w14:paraId="323C28A0" w14:textId="7F9BFDD8" w:rsidR="00045458" w:rsidRDefault="002339E8" w:rsidP="007147C2">
      <w:pPr>
        <w:pStyle w:val="BodyText1"/>
      </w:pPr>
      <w:r>
        <w:t xml:space="preserve">In some situations, it may be more cost effective to accept this assumption. However, examination of the implications of acceptance might reveal that it may be </w:t>
      </w:r>
      <w:r w:rsidR="009C4FE3">
        <w:t>to your</w:t>
      </w:r>
      <w:r>
        <w:t xml:space="preserve"> advantage to test this assumption by progressing to Stage 2; that is, the cost of the investigation could be offset by savings elsewhere. </w:t>
      </w:r>
    </w:p>
    <w:p w14:paraId="32A53B28" w14:textId="64AB29A1" w:rsidR="002339E8" w:rsidRPr="00684F5A" w:rsidRDefault="009C2EA2" w:rsidP="002339E8">
      <w:pPr>
        <w:pStyle w:val="Heading3"/>
        <w:rPr>
          <w:rFonts w:eastAsia="Times New Roman"/>
        </w:rPr>
      </w:pPr>
      <w:bookmarkStart w:id="65" w:name="_Toc193716179"/>
      <w:r>
        <w:rPr>
          <w:rFonts w:eastAsia="Times New Roman"/>
        </w:rPr>
        <w:t>A4.2.2</w:t>
      </w:r>
      <w:r>
        <w:rPr>
          <w:rFonts w:eastAsia="Times New Roman"/>
        </w:rPr>
        <w:tab/>
      </w:r>
      <w:r w:rsidR="002339E8">
        <w:rPr>
          <w:rFonts w:eastAsia="Times New Roman"/>
        </w:rPr>
        <w:t>Stage 2: Drilling</w:t>
      </w:r>
      <w:r w:rsidR="0062219A">
        <w:rPr>
          <w:rFonts w:eastAsia="Times New Roman"/>
        </w:rPr>
        <w:t>/excavation to bedrock</w:t>
      </w:r>
      <w:bookmarkEnd w:id="65"/>
      <w:r w:rsidR="002339E8">
        <w:rPr>
          <w:rFonts w:eastAsia="Times New Roman"/>
        </w:rPr>
        <w:t xml:space="preserve"> </w:t>
      </w:r>
    </w:p>
    <w:p w14:paraId="5734A2C0" w14:textId="27D3F5EE" w:rsidR="00B738AC" w:rsidRDefault="00CB6CC5" w:rsidP="00C75AA3">
      <w:pPr>
        <w:pStyle w:val="BodyText1"/>
      </w:pPr>
      <w:r>
        <w:t>You need to determine</w:t>
      </w:r>
      <w:r w:rsidR="00B738AC">
        <w:t xml:space="preserve"> if the superficial strata can provide more than 10 m</w:t>
      </w:r>
      <w:r w:rsidR="00B738AC">
        <w:rPr>
          <w:vertAlign w:val="superscript"/>
        </w:rPr>
        <w:t>3</w:t>
      </w:r>
      <w:r w:rsidR="00B738AC">
        <w:t xml:space="preserve">/day using information from site investigation and available geological mapping.  </w:t>
      </w:r>
    </w:p>
    <w:p w14:paraId="195474CC" w14:textId="3932A873" w:rsidR="00B738AC" w:rsidRDefault="00B738AC" w:rsidP="00C75AA3">
      <w:pPr>
        <w:pStyle w:val="BodyText1"/>
      </w:pPr>
      <w:r w:rsidRPr="00166A3E">
        <w:t xml:space="preserve">If </w:t>
      </w:r>
      <w:r w:rsidR="00EF430B">
        <w:t xml:space="preserve">you </w:t>
      </w:r>
      <w:r w:rsidR="00325576">
        <w:t>find</w:t>
      </w:r>
      <w:r w:rsidR="00EF430B">
        <w:t xml:space="preserve"> that </w:t>
      </w:r>
      <w:r w:rsidRPr="00166A3E">
        <w:t xml:space="preserve">the superficial strata are of significant areal extent (&gt;1 ha) and a significant thickness of saturated sand or gravel (or coarser material) is present (&gt;2m continuous thickness), then </w:t>
      </w:r>
      <w:r w:rsidR="00480382">
        <w:t xml:space="preserve">you should </w:t>
      </w:r>
      <w:r w:rsidRPr="00166A3E">
        <w:t xml:space="preserve">either </w:t>
      </w:r>
      <w:r w:rsidR="00480382">
        <w:t xml:space="preserve">undertake </w:t>
      </w:r>
      <w:r w:rsidRPr="00166A3E">
        <w:t>a Stage 3 investigation</w:t>
      </w:r>
      <w:r w:rsidRPr="00166A3E" w:rsidDel="00480382">
        <w:t xml:space="preserve"> </w:t>
      </w:r>
      <w:r w:rsidRPr="00166A3E">
        <w:t xml:space="preserve">or the </w:t>
      </w:r>
      <w:r w:rsidR="00480382">
        <w:t xml:space="preserve">you should consider the </w:t>
      </w:r>
      <w:r w:rsidRPr="00166A3E">
        <w:t>stratum to form part of the underlying groundwater body with its limit at the top of the relevant stratum.</w:t>
      </w:r>
      <w:r>
        <w:t xml:space="preserve"> </w:t>
      </w:r>
    </w:p>
    <w:p w14:paraId="58116FCE" w14:textId="39A5B868" w:rsidR="00B738AC" w:rsidRDefault="008223AA" w:rsidP="00C75AA3">
      <w:pPr>
        <w:pStyle w:val="BodyText1"/>
      </w:pPr>
      <w:r>
        <w:t xml:space="preserve">You can </w:t>
      </w:r>
      <w:r w:rsidR="00B738AC">
        <w:t>determin</w:t>
      </w:r>
      <w:r w:rsidR="21A9E965">
        <w:t>e</w:t>
      </w:r>
      <w:r w:rsidR="00B738AC">
        <w:t xml:space="preserve"> </w:t>
      </w:r>
      <w:r>
        <w:t>i</w:t>
      </w:r>
      <w:r w:rsidR="00B738AC">
        <w:t>f</w:t>
      </w:r>
      <w:r>
        <w:t xml:space="preserve"> the </w:t>
      </w:r>
      <w:r w:rsidR="004D0C93">
        <w:t>superficial strata are</w:t>
      </w:r>
      <w:r w:rsidR="00B738AC">
        <w:t xml:space="preserve"> ‘sand or gravel strata’ </w:t>
      </w:r>
      <w:r w:rsidR="004D0C93">
        <w:t>by either</w:t>
      </w:r>
      <w:r w:rsidR="00B738AC">
        <w:t xml:space="preserve">: </w:t>
      </w:r>
    </w:p>
    <w:p w14:paraId="2FFB066E" w14:textId="77777777" w:rsidR="00B738AC" w:rsidRDefault="00B738AC" w:rsidP="00C75AA3">
      <w:pPr>
        <w:pStyle w:val="BodyText1"/>
        <w:numPr>
          <w:ilvl w:val="0"/>
          <w:numId w:val="94"/>
        </w:numPr>
      </w:pPr>
      <w:r>
        <w:lastRenderedPageBreak/>
        <w:t xml:space="preserve">Using field descriptions made by qualified personnel in accordance with British Standards (BS5930:2015+A1:2020 Codes of Practice for Site investigations). In samples from sand or gravel strata, the ‘“principal soil type’” should be sand or coarser, with the material having no apparent plasticity/cohesion or being dominantly cobbles or boulders. </w:t>
      </w:r>
    </w:p>
    <w:p w14:paraId="7F96CA10" w14:textId="5B8E5FC8" w:rsidR="00B738AC" w:rsidRDefault="00B738AC" w:rsidP="000B1CA7">
      <w:pPr>
        <w:pStyle w:val="BodyText1"/>
        <w:numPr>
          <w:ilvl w:val="0"/>
          <w:numId w:val="94"/>
        </w:numPr>
      </w:pPr>
      <w:r>
        <w:t>Using particle size analysis, the distribution from the relevant strata should be less than 20% fines (silt and clay) in all samples, with average clay content of less than 13% clay</w:t>
      </w:r>
      <w:r>
        <w:rPr>
          <w:sz w:val="20"/>
          <w:vertAlign w:val="superscript"/>
        </w:rPr>
        <w:footnoteReference w:id="26"/>
      </w:r>
      <w:r>
        <w:t xml:space="preserve">. </w:t>
      </w:r>
    </w:p>
    <w:p w14:paraId="35F9BDF1" w14:textId="34A8443F" w:rsidR="00B738AC" w:rsidRDefault="00C95290" w:rsidP="005B3007">
      <w:pPr>
        <w:pStyle w:val="BodyText1"/>
      </w:pPr>
      <w:r>
        <w:t>You should use a</w:t>
      </w:r>
      <w:r w:rsidR="00B738AC">
        <w:t xml:space="preserve">vailable geological mapping to provide additional confidence to the conclusions drawn from site investigation, e.g. areal extent and connectivity of granular deposits.  </w:t>
      </w:r>
    </w:p>
    <w:p w14:paraId="033CA461" w14:textId="47068B98" w:rsidR="00B738AC" w:rsidRDefault="00B738AC" w:rsidP="005B3007">
      <w:pPr>
        <w:pStyle w:val="BodyText1"/>
      </w:pPr>
      <w:r>
        <w:t>Where the superficial geological sequence is complex, or where there is doubt concerning any of the Stage 2 assessments, then</w:t>
      </w:r>
      <w:r w:rsidR="00C95290">
        <w:t xml:space="preserve"> you should undertake</w:t>
      </w:r>
      <w:r>
        <w:t xml:space="preserve"> a Stage 3 investigation. This is particularly the case where the superficial deposits have an areal extent of &gt;1 ha but there is uncertainty as to whether the granular horizon thickness criteria have been met. An example of a complex sequence is the common situation where numerous thin layers or lenses of permeable strata are present within less permeable deposits. </w:t>
      </w:r>
    </w:p>
    <w:p w14:paraId="5F9001E3" w14:textId="04BA7C40" w:rsidR="002339E8" w:rsidRDefault="00B738AC" w:rsidP="00527A00">
      <w:pPr>
        <w:pStyle w:val="BodyText1"/>
      </w:pPr>
      <w:r>
        <w:t xml:space="preserve">If the areal extent is &lt;1 ha, </w:t>
      </w:r>
      <w:r w:rsidR="00A66C7D">
        <w:t xml:space="preserve">you can conclude that </w:t>
      </w:r>
      <w:r>
        <w:t>the superficial deposits are unlikely to have future resource potential.</w:t>
      </w:r>
    </w:p>
    <w:p w14:paraId="7FA12310" w14:textId="04722AF6" w:rsidR="00B738AC" w:rsidRPr="00684F5A" w:rsidRDefault="009C2EA2" w:rsidP="00B738AC">
      <w:pPr>
        <w:pStyle w:val="Heading3"/>
        <w:rPr>
          <w:rFonts w:eastAsia="Times New Roman"/>
        </w:rPr>
      </w:pPr>
      <w:bookmarkStart w:id="66" w:name="_Toc193716180"/>
      <w:r>
        <w:rPr>
          <w:rFonts w:eastAsia="Times New Roman"/>
        </w:rPr>
        <w:t>A4.2.3</w:t>
      </w:r>
      <w:r>
        <w:rPr>
          <w:rFonts w:eastAsia="Times New Roman"/>
        </w:rPr>
        <w:tab/>
      </w:r>
      <w:r w:rsidR="00B738AC">
        <w:rPr>
          <w:rFonts w:eastAsia="Times New Roman"/>
        </w:rPr>
        <w:t xml:space="preserve">Stage 3: </w:t>
      </w:r>
      <w:r w:rsidR="0053687E">
        <w:rPr>
          <w:rFonts w:eastAsia="Times New Roman"/>
        </w:rPr>
        <w:t>Productivity testing</w:t>
      </w:r>
      <w:bookmarkEnd w:id="66"/>
      <w:r w:rsidR="0053687E">
        <w:rPr>
          <w:rFonts w:eastAsia="Times New Roman"/>
        </w:rPr>
        <w:t xml:space="preserve"> </w:t>
      </w:r>
      <w:r w:rsidR="00B738AC">
        <w:rPr>
          <w:rFonts w:eastAsia="Times New Roman"/>
        </w:rPr>
        <w:t xml:space="preserve"> </w:t>
      </w:r>
    </w:p>
    <w:p w14:paraId="20833DBA" w14:textId="77D45DD3" w:rsidR="003B30F3" w:rsidRPr="003B30F3" w:rsidRDefault="0048388A" w:rsidP="00C75AA3">
      <w:pPr>
        <w:pStyle w:val="BodyText1"/>
      </w:pPr>
      <w:r>
        <w:t xml:space="preserve">Using enhanced </w:t>
      </w:r>
      <w:r w:rsidR="003B30F3" w:rsidRPr="003B30F3">
        <w:t xml:space="preserve">information </w:t>
      </w:r>
      <w:r>
        <w:t>you need</w:t>
      </w:r>
      <w:r w:rsidR="003B30F3" w:rsidRPr="003B30F3">
        <w:t xml:space="preserve"> to demonstrate with more confidence if the relevant stratum identified in Stage 2 can provide more than 10 m</w:t>
      </w:r>
      <w:r w:rsidR="003B30F3" w:rsidRPr="003B30F3">
        <w:rPr>
          <w:vertAlign w:val="superscript"/>
        </w:rPr>
        <w:t>3</w:t>
      </w:r>
      <w:r w:rsidR="003B30F3" w:rsidRPr="003B30F3">
        <w:t xml:space="preserve">/day. </w:t>
      </w:r>
    </w:p>
    <w:p w14:paraId="6E5B56E3" w14:textId="29ACC5CE" w:rsidR="003B30F3" w:rsidRDefault="006316CA" w:rsidP="00C75AA3">
      <w:pPr>
        <w:pStyle w:val="BodyText1"/>
      </w:pPr>
      <w:r>
        <w:t>You can consider t</w:t>
      </w:r>
      <w:r w:rsidR="003B30F3" w:rsidRPr="003B30F3">
        <w:t xml:space="preserve">he saturated superficial deposits to have resource value and the top of the groundwater body </w:t>
      </w:r>
      <w:r>
        <w:t xml:space="preserve">is </w:t>
      </w:r>
      <w:r w:rsidR="003B30F3" w:rsidRPr="003B30F3">
        <w:t>the top of the relevant stratum unless flow within the superficial strata is demonstrated to be less than 10 m</w:t>
      </w:r>
      <w:r w:rsidR="003B30F3" w:rsidRPr="003B30F3">
        <w:rPr>
          <w:vertAlign w:val="superscript"/>
        </w:rPr>
        <w:t>3</w:t>
      </w:r>
      <w:r w:rsidR="003B30F3" w:rsidRPr="003B30F3">
        <w:t xml:space="preserve">/day.  </w:t>
      </w:r>
    </w:p>
    <w:p w14:paraId="4E5CD3CD" w14:textId="3725B265" w:rsidR="003B30F3" w:rsidRPr="003B30F3" w:rsidRDefault="00651B01" w:rsidP="00C75AA3">
      <w:pPr>
        <w:pStyle w:val="BodyText1"/>
      </w:pPr>
      <w:r>
        <w:lastRenderedPageBreak/>
        <w:t>You should assess f</w:t>
      </w:r>
      <w:r w:rsidR="003B30F3" w:rsidRPr="003B30F3">
        <w:t xml:space="preserve">low within the superficial strata taking into account the following factors: </w:t>
      </w:r>
    </w:p>
    <w:p w14:paraId="5A3638C9" w14:textId="55AD114A" w:rsidR="003B30F3" w:rsidRPr="003B30F3" w:rsidRDefault="003B30F3" w:rsidP="00C75AA3">
      <w:pPr>
        <w:pStyle w:val="BodyText1"/>
        <w:numPr>
          <w:ilvl w:val="0"/>
          <w:numId w:val="95"/>
        </w:numPr>
      </w:pPr>
      <w:r w:rsidRPr="003B30F3">
        <w:t>Average</w:t>
      </w:r>
      <w:r w:rsidRPr="003B30F3">
        <w:rPr>
          <w:sz w:val="20"/>
          <w:vertAlign w:val="superscript"/>
        </w:rPr>
        <w:footnoteReference w:id="27"/>
      </w:r>
      <w:r w:rsidRPr="003B30F3">
        <w:t xml:space="preserve"> transmissivity of the superficial strata</w:t>
      </w:r>
      <w:r w:rsidR="0062238F">
        <w:t>.</w:t>
      </w:r>
      <w:r w:rsidRPr="003B30F3">
        <w:t xml:space="preserve"> </w:t>
      </w:r>
    </w:p>
    <w:p w14:paraId="020A59DC" w14:textId="77777777" w:rsidR="003B30F3" w:rsidRPr="003B30F3" w:rsidRDefault="003B30F3" w:rsidP="005B3007">
      <w:pPr>
        <w:pStyle w:val="BodyText1"/>
        <w:numPr>
          <w:ilvl w:val="0"/>
          <w:numId w:val="95"/>
        </w:numPr>
      </w:pPr>
      <w:r w:rsidRPr="003B30F3">
        <w:t>Lateral extent of the permeable superficial strata perpendicular to the dominant groundwater flow direction</w:t>
      </w:r>
      <w:r w:rsidR="0062238F">
        <w:t>.</w:t>
      </w:r>
      <w:r w:rsidRPr="003B30F3">
        <w:t xml:space="preserve"> </w:t>
      </w:r>
    </w:p>
    <w:p w14:paraId="348BA5EB" w14:textId="2C6D8EC1" w:rsidR="003B30F3" w:rsidRDefault="003B30F3" w:rsidP="005B3007">
      <w:pPr>
        <w:pStyle w:val="BodyText1"/>
        <w:numPr>
          <w:ilvl w:val="0"/>
          <w:numId w:val="95"/>
        </w:numPr>
      </w:pPr>
      <w:r w:rsidRPr="003B30F3">
        <w:t xml:space="preserve">Hydraulic regime within the superficial deposits, taking into account potential interactions with the underlying bedrock and with surface waters. </w:t>
      </w:r>
    </w:p>
    <w:p w14:paraId="14D6F429" w14:textId="446D9575" w:rsidR="003B30F3" w:rsidRDefault="003B30F3" w:rsidP="00C75AA3">
      <w:pPr>
        <w:pStyle w:val="BodyText1"/>
      </w:pPr>
      <w:r w:rsidRPr="003B30F3">
        <w:t xml:space="preserve">Depending on the degree of uncertainty, </w:t>
      </w:r>
      <w:r w:rsidR="008E7873">
        <w:t xml:space="preserve">you should </w:t>
      </w:r>
      <w:r w:rsidR="00927B81">
        <w:t xml:space="preserve">undertake </w:t>
      </w:r>
      <w:r w:rsidRPr="003B30F3">
        <w:t>this through representative in-situ test pumping or through a combination of in-situ testing and analytical or numerical calculations of flow based upon data representing the relevant strata as a whole.</w:t>
      </w:r>
      <w:r w:rsidR="00927B81">
        <w:t xml:space="preserve"> You should undertake any</w:t>
      </w:r>
      <w:r w:rsidRPr="003B30F3">
        <w:t xml:space="preserve"> </w:t>
      </w:r>
      <w:r w:rsidR="00927B81">
        <w:t>f</w:t>
      </w:r>
      <w:r w:rsidRPr="003B30F3">
        <w:t>ield testing</w:t>
      </w:r>
      <w:r w:rsidRPr="003B30F3" w:rsidDel="00927B81">
        <w:t xml:space="preserve"> </w:t>
      </w:r>
      <w:r w:rsidRPr="003B30F3">
        <w:t xml:space="preserve">in accordance with British Standards (BS5930:2015+A1:2020 Code of Practice for Site investigations).  </w:t>
      </w:r>
    </w:p>
    <w:p w14:paraId="59C6CEF7" w14:textId="3A63F2FB" w:rsidR="003B30F3" w:rsidRDefault="00BC2721" w:rsidP="006A5B6A">
      <w:pPr>
        <w:pStyle w:val="BodyText1"/>
      </w:pPr>
      <w:r>
        <w:t>You must assess</w:t>
      </w:r>
      <w:r w:rsidR="003B30F3" w:rsidRPr="003B30F3">
        <w:t xml:space="preserve"> the potential sustainable yield of the superficial aquifer as a whole rather than the potential yield from any individual borehole. </w:t>
      </w:r>
    </w:p>
    <w:p w14:paraId="17BA7C25" w14:textId="04372AFA" w:rsidR="008303C1" w:rsidRDefault="000B1CA7" w:rsidP="000B1CA7">
      <w:pPr>
        <w:pStyle w:val="Heading1"/>
      </w:pPr>
      <w:bookmarkStart w:id="67" w:name="_Toc193716181"/>
      <w:r>
        <w:t>Glossary</w:t>
      </w:r>
      <w:bookmarkEnd w:id="67"/>
    </w:p>
    <w:p w14:paraId="4D979484" w14:textId="5EE8AC70" w:rsidR="000B1CA7" w:rsidRDefault="000B1CA7">
      <w:r>
        <w:t xml:space="preserve">A list of terms are defined in the </w:t>
      </w:r>
      <w:r w:rsidR="007C26AD">
        <w:t xml:space="preserve">EASR main </w:t>
      </w:r>
      <w:r>
        <w:t>glossary</w:t>
      </w:r>
      <w:r w:rsidR="007C26AD">
        <w:t>.</w:t>
      </w:r>
    </w:p>
    <w:p w14:paraId="3B69681C" w14:textId="1D7556C0" w:rsidR="00CB013D" w:rsidRDefault="00CB013D" w:rsidP="00CB013D">
      <w:pPr>
        <w:spacing w:after="120"/>
      </w:pPr>
    </w:p>
    <w:p w14:paraId="15F93C8D" w14:textId="77777777" w:rsidR="00C06189" w:rsidRPr="00831EA5" w:rsidRDefault="00C06189" w:rsidP="00C06189">
      <w:pPr>
        <w:pStyle w:val="Heading1"/>
      </w:pPr>
      <w:bookmarkStart w:id="68" w:name="_Toc187427128"/>
      <w:bookmarkStart w:id="69" w:name="_Toc188362529"/>
      <w:bookmarkStart w:id="70" w:name="_Toc192669241"/>
      <w:bookmarkStart w:id="71" w:name="_Toc193716182"/>
      <w:r>
        <w:t>Disclaimer</w:t>
      </w:r>
      <w:bookmarkEnd w:id="68"/>
      <w:bookmarkEnd w:id="69"/>
      <w:bookmarkEnd w:id="70"/>
      <w:bookmarkEnd w:id="71"/>
      <w:r>
        <w:t xml:space="preserve"> </w:t>
      </w:r>
    </w:p>
    <w:p w14:paraId="1594BB4D" w14:textId="77777777" w:rsidR="00C06189" w:rsidRPr="004F5A37" w:rsidRDefault="00C06189" w:rsidP="00C06189">
      <w:pPr>
        <w:pStyle w:val="BodyText1"/>
      </w:pPr>
      <w:r w:rsidRPr="004F5A37">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05E236CB" w14:textId="77777777" w:rsidR="00C06189" w:rsidRPr="004F5A37" w:rsidRDefault="00C06189" w:rsidP="00C06189">
      <w:pPr>
        <w:pStyle w:val="BodyText1"/>
        <w:numPr>
          <w:ilvl w:val="0"/>
          <w:numId w:val="106"/>
        </w:numPr>
      </w:pPr>
      <w:r w:rsidRPr="004F5A37">
        <w:lastRenderedPageBreak/>
        <w:t>any direct, indirect and consequential losses</w:t>
      </w:r>
    </w:p>
    <w:p w14:paraId="525CB79A" w14:textId="77777777" w:rsidR="00C06189" w:rsidRPr="004F5A37" w:rsidRDefault="00C06189" w:rsidP="00C06189">
      <w:pPr>
        <w:pStyle w:val="BodyText1"/>
        <w:numPr>
          <w:ilvl w:val="0"/>
          <w:numId w:val="106"/>
        </w:numPr>
      </w:pPr>
      <w:r w:rsidRPr="004F5A37">
        <w:t>any loss or damage caused by civil wrongs, breach of contract or otherwise</w:t>
      </w:r>
    </w:p>
    <w:p w14:paraId="49FC6F14" w14:textId="77777777" w:rsidR="00C06189" w:rsidRPr="004F5A37" w:rsidRDefault="00C06189" w:rsidP="00C06189">
      <w:pPr>
        <w:pStyle w:val="BodyText1"/>
      </w:pPr>
      <w:r w:rsidRPr="004F5A37">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55CBBBCF" w14:textId="77777777" w:rsidR="00CB013D" w:rsidRDefault="00CB013D" w:rsidP="00CB013D">
      <w:pPr>
        <w:spacing w:after="120"/>
      </w:pPr>
    </w:p>
    <w:p w14:paraId="5122444E" w14:textId="77777777" w:rsidR="005B3007" w:rsidRDefault="005B3007" w:rsidP="00C75AA3">
      <w:pPr>
        <w:rPr>
          <w:rFonts w:eastAsia="Times New Roman"/>
          <w:sz w:val="32"/>
          <w:szCs w:val="32"/>
        </w:rPr>
      </w:pPr>
    </w:p>
    <w:p w14:paraId="5327DAEF" w14:textId="77777777" w:rsidR="005B3007" w:rsidRDefault="005B3007" w:rsidP="00C75AA3">
      <w:pPr>
        <w:rPr>
          <w:rFonts w:eastAsia="Times New Roman"/>
          <w:sz w:val="32"/>
          <w:szCs w:val="32"/>
        </w:rPr>
      </w:pPr>
    </w:p>
    <w:p w14:paraId="11B3B2C7" w14:textId="77777777" w:rsidR="005B3007" w:rsidRDefault="005B3007" w:rsidP="00C75AA3">
      <w:pPr>
        <w:rPr>
          <w:rFonts w:eastAsia="Times New Roman"/>
          <w:sz w:val="32"/>
          <w:szCs w:val="32"/>
        </w:rPr>
      </w:pPr>
    </w:p>
    <w:p w14:paraId="288DA239" w14:textId="77777777" w:rsidR="005B3007" w:rsidRDefault="005B3007" w:rsidP="00C75AA3">
      <w:pPr>
        <w:rPr>
          <w:rFonts w:eastAsia="Times New Roman"/>
          <w:sz w:val="32"/>
          <w:szCs w:val="32"/>
        </w:rPr>
      </w:pPr>
    </w:p>
    <w:p w14:paraId="60B07F05" w14:textId="77777777" w:rsidR="005B3007" w:rsidRDefault="005B3007" w:rsidP="00C75AA3">
      <w:pPr>
        <w:rPr>
          <w:rFonts w:eastAsia="Times New Roman"/>
          <w:sz w:val="32"/>
          <w:szCs w:val="32"/>
        </w:rPr>
      </w:pPr>
    </w:p>
    <w:p w14:paraId="6CCD0E95" w14:textId="77777777" w:rsidR="005B3007" w:rsidRDefault="005B3007" w:rsidP="00C75AA3">
      <w:pPr>
        <w:rPr>
          <w:rFonts w:eastAsia="Times New Roman"/>
          <w:sz w:val="32"/>
          <w:szCs w:val="32"/>
        </w:rPr>
      </w:pPr>
    </w:p>
    <w:p w14:paraId="7333C4DF" w14:textId="77777777" w:rsidR="005B3007" w:rsidRDefault="005B3007" w:rsidP="00C75AA3">
      <w:pPr>
        <w:rPr>
          <w:rFonts w:eastAsia="Times New Roman"/>
          <w:sz w:val="32"/>
          <w:szCs w:val="32"/>
        </w:rPr>
      </w:pPr>
    </w:p>
    <w:sectPr w:rsidR="005B3007" w:rsidSect="006A6137">
      <w:headerReference w:type="even" r:id="rId19"/>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16B97" w14:textId="77777777" w:rsidR="001021DF" w:rsidRDefault="001021DF" w:rsidP="00660C79">
      <w:pPr>
        <w:spacing w:line="240" w:lineRule="auto"/>
      </w:pPr>
      <w:r>
        <w:separator/>
      </w:r>
    </w:p>
  </w:endnote>
  <w:endnote w:type="continuationSeparator" w:id="0">
    <w:p w14:paraId="193D7F6C" w14:textId="77777777" w:rsidR="001021DF" w:rsidRDefault="001021DF" w:rsidP="00660C79">
      <w:pPr>
        <w:spacing w:line="240" w:lineRule="auto"/>
      </w:pPr>
      <w:r>
        <w:continuationSeparator/>
      </w:r>
    </w:p>
  </w:endnote>
  <w:endnote w:type="continuationNotice" w:id="1">
    <w:p w14:paraId="39CD4B4E" w14:textId="77777777" w:rsidR="001021DF" w:rsidRDefault="001021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3C7A"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5620B378" wp14:editId="3F91E9C5">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58F60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20B378"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A58F60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6171DDE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85AA8A1"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040DCA"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3AE2D"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5BC208FA" wp14:editId="3DDF3391">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E2B00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C208FA"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5E2B00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28EDB623"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36CA05DD" wp14:editId="7F4FADFF">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7751B9"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27122A0"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4A19AA" w14:textId="77777777" w:rsidR="00917BB1" w:rsidRDefault="00917BB1" w:rsidP="00917BB1">
    <w:pPr>
      <w:pStyle w:val="Footer"/>
      <w:ind w:right="360"/>
    </w:pPr>
    <w:r>
      <w:rPr>
        <w:noProof/>
      </w:rPr>
      <w:drawing>
        <wp:inline distT="0" distB="0" distL="0" distR="0" wp14:anchorId="2ED3111D" wp14:editId="72445A93">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F917"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4517CB3D" wp14:editId="3CDCC864">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99D50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17CB3D"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499D50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E066A" w14:textId="77777777" w:rsidR="001021DF" w:rsidRDefault="001021DF" w:rsidP="00660C79">
      <w:pPr>
        <w:spacing w:line="240" w:lineRule="auto"/>
      </w:pPr>
      <w:r>
        <w:separator/>
      </w:r>
    </w:p>
  </w:footnote>
  <w:footnote w:type="continuationSeparator" w:id="0">
    <w:p w14:paraId="26DDDC3E" w14:textId="77777777" w:rsidR="001021DF" w:rsidRDefault="001021DF" w:rsidP="00660C79">
      <w:pPr>
        <w:spacing w:line="240" w:lineRule="auto"/>
      </w:pPr>
      <w:r>
        <w:continuationSeparator/>
      </w:r>
    </w:p>
  </w:footnote>
  <w:footnote w:type="continuationNotice" w:id="1">
    <w:p w14:paraId="2A222AC0" w14:textId="77777777" w:rsidR="001021DF" w:rsidRDefault="001021DF">
      <w:pPr>
        <w:spacing w:line="240" w:lineRule="auto"/>
      </w:pPr>
    </w:p>
  </w:footnote>
  <w:footnote w:id="2">
    <w:p w14:paraId="11AC711E" w14:textId="77777777" w:rsidR="00EA690E" w:rsidRDefault="00EA690E" w:rsidP="00DD6C60">
      <w:pPr>
        <w:pStyle w:val="footnotedescription"/>
        <w:spacing w:after="31" w:line="360" w:lineRule="auto"/>
      </w:pPr>
      <w:r>
        <w:rPr>
          <w:rStyle w:val="footnotemark"/>
        </w:rPr>
        <w:footnoteRef/>
      </w:r>
      <w:r>
        <w:t xml:space="preserve"> </w:t>
      </w:r>
      <w:r w:rsidRPr="00DD6C60">
        <w:rPr>
          <w:sz w:val="24"/>
          <w:szCs w:val="24"/>
        </w:rPr>
        <w:t>In scenarios where surface recharge is not the dominant control on the groundwater flow regime (e.g. groundwater at &gt;30 m depth in hard rock terranes), an alternative site-specific assessment area capable of supporting a flow of 10 m</w:t>
      </w:r>
      <w:r w:rsidRPr="00DD6C60">
        <w:rPr>
          <w:sz w:val="24"/>
          <w:szCs w:val="24"/>
          <w:vertAlign w:val="superscript"/>
        </w:rPr>
        <w:t>3</w:t>
      </w:r>
      <w:r w:rsidRPr="00DD6C60">
        <w:rPr>
          <w:sz w:val="24"/>
          <w:szCs w:val="24"/>
        </w:rPr>
        <w:t>/d may be proposed for consideration by SEPA.</w:t>
      </w:r>
      <w:r>
        <w:t xml:space="preserve"> </w:t>
      </w:r>
    </w:p>
  </w:footnote>
  <w:footnote w:id="3">
    <w:p w14:paraId="1AE22423" w14:textId="08366AF0" w:rsidR="002C1FB6" w:rsidRDefault="002C1FB6" w:rsidP="00D945C1">
      <w:pPr>
        <w:pStyle w:val="footnotedescription"/>
        <w:spacing w:after="28" w:line="360" w:lineRule="auto"/>
      </w:pPr>
      <w:r>
        <w:rPr>
          <w:rStyle w:val="FootnoteReference"/>
        </w:rPr>
        <w:footnoteRef/>
      </w:r>
      <w:r>
        <w:t xml:space="preserve"> </w:t>
      </w:r>
      <w:r w:rsidR="0082071C" w:rsidRPr="00DD6C60">
        <w:rPr>
          <w:sz w:val="24"/>
          <w:szCs w:val="24"/>
        </w:rPr>
        <w:t>In scenarios where surface recharge is not the dominant control on the groundwater flow regime (e.g. groundwater at &gt;30 m depth in hard rock terranes), an alternative site-specific assessment area capable of supporting a flow of 200 m</w:t>
      </w:r>
      <w:r w:rsidR="0082071C" w:rsidRPr="00DD6C60">
        <w:rPr>
          <w:sz w:val="24"/>
          <w:szCs w:val="24"/>
          <w:vertAlign w:val="superscript"/>
        </w:rPr>
        <w:t>3</w:t>
      </w:r>
      <w:r w:rsidR="0082071C" w:rsidRPr="00DD6C60">
        <w:rPr>
          <w:sz w:val="24"/>
          <w:szCs w:val="24"/>
        </w:rPr>
        <w:t>/d may be proposed for consideration by SEPA.</w:t>
      </w:r>
      <w:r w:rsidR="0082071C">
        <w:t xml:space="preserve"> </w:t>
      </w:r>
    </w:p>
  </w:footnote>
  <w:footnote w:id="4">
    <w:p w14:paraId="76304C14" w14:textId="1A57EA5A" w:rsidR="00F235A9" w:rsidRPr="00D945C1" w:rsidRDefault="00F235A9" w:rsidP="00D945C1">
      <w:pPr>
        <w:pStyle w:val="FootnoteText"/>
        <w:spacing w:line="360" w:lineRule="auto"/>
        <w:rPr>
          <w:sz w:val="24"/>
          <w:szCs w:val="24"/>
        </w:rPr>
      </w:pPr>
      <w:r w:rsidRPr="00D945C1">
        <w:rPr>
          <w:rStyle w:val="FootnoteReference"/>
          <w:sz w:val="24"/>
          <w:szCs w:val="24"/>
        </w:rPr>
        <w:footnoteRef/>
      </w:r>
      <w:r w:rsidRPr="00D945C1">
        <w:rPr>
          <w:sz w:val="24"/>
          <w:szCs w:val="24"/>
        </w:rPr>
        <w:t xml:space="preserve"> As per UKTAG Paper 11b(i).</w:t>
      </w:r>
    </w:p>
  </w:footnote>
  <w:footnote w:id="5">
    <w:p w14:paraId="21BD8CA3" w14:textId="49D81CA7" w:rsidR="00B80ECC" w:rsidRPr="00D945C1" w:rsidRDefault="00B80ECC" w:rsidP="00D945C1">
      <w:pPr>
        <w:pStyle w:val="FootnoteText"/>
        <w:spacing w:line="360" w:lineRule="auto"/>
        <w:rPr>
          <w:sz w:val="24"/>
          <w:szCs w:val="24"/>
        </w:rPr>
      </w:pPr>
      <w:r w:rsidRPr="00D945C1">
        <w:rPr>
          <w:rStyle w:val="FootnoteReference"/>
          <w:sz w:val="24"/>
          <w:szCs w:val="24"/>
        </w:rPr>
        <w:footnoteRef/>
      </w:r>
      <w:r w:rsidRPr="00D945C1">
        <w:rPr>
          <w:sz w:val="24"/>
          <w:szCs w:val="24"/>
        </w:rPr>
        <w:t xml:space="preserve"> As set out in Schedule 4 of The Scotland River Basin District (Standards) Directions 2024. See also Annex A3.3.4.</w:t>
      </w:r>
    </w:p>
  </w:footnote>
  <w:footnote w:id="6">
    <w:p w14:paraId="57293D7E" w14:textId="77777777" w:rsidR="00821651" w:rsidRDefault="00821651" w:rsidP="00157C28">
      <w:pPr>
        <w:pStyle w:val="BodyText1"/>
      </w:pPr>
      <w:r>
        <w:rPr>
          <w:rStyle w:val="FootnoteReference"/>
        </w:rPr>
        <w:footnoteRef/>
      </w:r>
      <w:r>
        <w:t xml:space="preserve"> Water Environment and Water Services (Scotland) Act 2003</w:t>
      </w:r>
    </w:p>
  </w:footnote>
  <w:footnote w:id="7">
    <w:p w14:paraId="6428FFA9" w14:textId="77777777" w:rsidR="00821651" w:rsidRDefault="00821651" w:rsidP="00157C28">
      <w:pPr>
        <w:pStyle w:val="BodyText1"/>
      </w:pPr>
      <w:r>
        <w:rPr>
          <w:rStyle w:val="footnotemark"/>
        </w:rPr>
        <w:footnoteRef/>
      </w:r>
      <w:r>
        <w:t xml:space="preserve"> Subsoil is considered here to include both natural soils and anthropogenic soils (‘made ground’). </w:t>
      </w:r>
    </w:p>
  </w:footnote>
  <w:footnote w:id="8">
    <w:p w14:paraId="6E358FCE" w14:textId="77777777" w:rsidR="001B3A37" w:rsidRPr="007D014D" w:rsidRDefault="001B3A37" w:rsidP="00B07B09">
      <w:pPr>
        <w:pStyle w:val="footnotedescription"/>
        <w:spacing w:line="360" w:lineRule="auto"/>
        <w:rPr>
          <w:sz w:val="24"/>
          <w:szCs w:val="24"/>
        </w:rPr>
      </w:pPr>
      <w:r w:rsidRPr="007D014D">
        <w:rPr>
          <w:rStyle w:val="footnotemark"/>
          <w:sz w:val="24"/>
          <w:szCs w:val="24"/>
        </w:rPr>
        <w:footnoteRef/>
      </w:r>
      <w:r w:rsidRPr="007D014D">
        <w:rPr>
          <w:sz w:val="24"/>
          <w:szCs w:val="24"/>
        </w:rPr>
        <w:t xml:space="preserve"> UKTAG, 2012, </w:t>
      </w:r>
      <w:r w:rsidRPr="00DA7540">
        <w:rPr>
          <w:iCs/>
          <w:sz w:val="24"/>
          <w:szCs w:val="24"/>
        </w:rPr>
        <w:t>Defining &amp; Reporting on Groundwater Bodies</w:t>
      </w:r>
      <w:r w:rsidRPr="007D014D">
        <w:rPr>
          <w:sz w:val="24"/>
          <w:szCs w:val="24"/>
        </w:rPr>
        <w:t xml:space="preserve"> </w:t>
      </w:r>
    </w:p>
  </w:footnote>
  <w:footnote w:id="9">
    <w:p w14:paraId="17DAB1AC" w14:textId="77777777" w:rsidR="001B3A37" w:rsidRPr="007D014D" w:rsidRDefault="001B3A37" w:rsidP="00B07B09">
      <w:pPr>
        <w:pStyle w:val="footnotedescription"/>
        <w:spacing w:after="44" w:line="360" w:lineRule="auto"/>
        <w:rPr>
          <w:sz w:val="24"/>
          <w:szCs w:val="24"/>
        </w:rPr>
      </w:pPr>
      <w:r w:rsidRPr="007D014D">
        <w:rPr>
          <w:rStyle w:val="footnotemark"/>
          <w:sz w:val="24"/>
          <w:szCs w:val="24"/>
        </w:rPr>
        <w:footnoteRef/>
      </w:r>
      <w:r w:rsidRPr="007D014D">
        <w:rPr>
          <w:sz w:val="24"/>
          <w:szCs w:val="24"/>
        </w:rPr>
        <w:t xml:space="preserve"> Including weathered bedrock </w:t>
      </w:r>
    </w:p>
  </w:footnote>
  <w:footnote w:id="10">
    <w:p w14:paraId="3BDED340" w14:textId="6F51F509" w:rsidR="001B3A37" w:rsidRPr="007D014D" w:rsidRDefault="001B3A37" w:rsidP="00B07B09">
      <w:pPr>
        <w:pStyle w:val="footnotedescription"/>
        <w:spacing w:after="29" w:line="360" w:lineRule="auto"/>
        <w:rPr>
          <w:sz w:val="24"/>
          <w:szCs w:val="24"/>
        </w:rPr>
      </w:pPr>
      <w:r w:rsidRPr="007D014D">
        <w:rPr>
          <w:rStyle w:val="footnotemark"/>
          <w:sz w:val="24"/>
          <w:szCs w:val="24"/>
        </w:rPr>
        <w:footnoteRef/>
      </w:r>
      <w:r w:rsidRPr="007D014D">
        <w:rPr>
          <w:sz w:val="24"/>
          <w:szCs w:val="24"/>
        </w:rPr>
        <w:t xml:space="preserve"> </w:t>
      </w:r>
      <w:r w:rsidRPr="007D014D" w:rsidDel="008763CE">
        <w:rPr>
          <w:sz w:val="24"/>
          <w:szCs w:val="24"/>
        </w:rPr>
        <w:t>a</w:t>
      </w:r>
      <w:r w:rsidRPr="007D014D">
        <w:rPr>
          <w:sz w:val="24"/>
          <w:szCs w:val="24"/>
        </w:rPr>
        <w:t xml:space="preserve"> groundwater body is a management unit for Scotland’s groundwater. All of mainland Scotland and the majority of inhabited islands are split into groundwater bodies. Each groundwater body includes the bedrock and/or overlying superficial deposits </w:t>
      </w:r>
    </w:p>
  </w:footnote>
  <w:footnote w:id="11">
    <w:p w14:paraId="6E5B07D4" w14:textId="77777777" w:rsidR="001B3A37" w:rsidRPr="007D014D" w:rsidRDefault="001B3A37" w:rsidP="00B07B09">
      <w:pPr>
        <w:pStyle w:val="footnotedescription"/>
        <w:spacing w:after="30" w:line="360" w:lineRule="auto"/>
        <w:rPr>
          <w:sz w:val="24"/>
          <w:szCs w:val="24"/>
        </w:rPr>
      </w:pPr>
      <w:r w:rsidRPr="007D014D">
        <w:rPr>
          <w:rStyle w:val="footnotemark"/>
          <w:sz w:val="24"/>
          <w:szCs w:val="24"/>
        </w:rPr>
        <w:footnoteRef/>
      </w:r>
      <w:r w:rsidRPr="007D014D">
        <w:rPr>
          <w:sz w:val="24"/>
          <w:szCs w:val="24"/>
        </w:rPr>
        <w:t xml:space="preserve"> Ó Dochartaigh et al, 2015, </w:t>
      </w:r>
      <w:r w:rsidRPr="007D014D">
        <w:rPr>
          <w:i/>
          <w:sz w:val="24"/>
          <w:szCs w:val="24"/>
        </w:rPr>
        <w:t>Scotland’s aquifers and groundwater bodies</w:t>
      </w:r>
      <w:r w:rsidRPr="007D014D">
        <w:rPr>
          <w:sz w:val="24"/>
          <w:szCs w:val="24"/>
        </w:rPr>
        <w:t xml:space="preserve"> </w:t>
      </w:r>
    </w:p>
  </w:footnote>
  <w:footnote w:id="12">
    <w:p w14:paraId="4087FC78" w14:textId="77777777" w:rsidR="00AD6C36" w:rsidRPr="00B07B09" w:rsidRDefault="00AD6C36" w:rsidP="00B07B09">
      <w:pPr>
        <w:pStyle w:val="footnotedescription"/>
        <w:spacing w:line="360" w:lineRule="auto"/>
        <w:rPr>
          <w:sz w:val="24"/>
          <w:szCs w:val="24"/>
        </w:rPr>
      </w:pPr>
      <w:r w:rsidRPr="00B07B09">
        <w:rPr>
          <w:rStyle w:val="footnotemark"/>
          <w:sz w:val="24"/>
          <w:szCs w:val="24"/>
        </w:rPr>
        <w:footnoteRef/>
      </w:r>
      <w:r w:rsidRPr="00B07B09">
        <w:rPr>
          <w:sz w:val="24"/>
          <w:szCs w:val="24"/>
        </w:rPr>
        <w:t xml:space="preserve"> As defined in The Environmental Authorisations (Scotland) Regulations 2018 and associated guidance. </w:t>
      </w:r>
    </w:p>
  </w:footnote>
  <w:footnote w:id="13">
    <w:p w14:paraId="7B1CAD75" w14:textId="77777777" w:rsidR="00FD1FC4" w:rsidRDefault="00FD1FC4" w:rsidP="00FD1FC4">
      <w:pPr>
        <w:pStyle w:val="footnotedescription"/>
        <w:spacing w:line="360" w:lineRule="auto"/>
      </w:pPr>
      <w:r w:rsidRPr="00B07B09">
        <w:rPr>
          <w:rStyle w:val="footnotemark"/>
          <w:sz w:val="24"/>
          <w:szCs w:val="24"/>
        </w:rPr>
        <w:footnoteRef/>
      </w:r>
      <w:r w:rsidRPr="00B07B09">
        <w:rPr>
          <w:sz w:val="24"/>
          <w:szCs w:val="24"/>
        </w:rPr>
        <w:t xml:space="preserve"> Direct discharges of pollutants to groundwater may be permitted to groundwater below 400m below ground level or below mean high water springs if the water has elevated salinity and there is no pathway for contaminants to reach surface ecosystems.</w:t>
      </w:r>
      <w:r>
        <w:t xml:space="preserve"> </w:t>
      </w:r>
    </w:p>
  </w:footnote>
  <w:footnote w:id="14">
    <w:p w14:paraId="49789D8E" w14:textId="77777777" w:rsidR="00D32648" w:rsidRPr="00332F87" w:rsidRDefault="00D32648" w:rsidP="00332F87">
      <w:pPr>
        <w:pStyle w:val="footnotedescription"/>
        <w:spacing w:line="360" w:lineRule="auto"/>
        <w:rPr>
          <w:sz w:val="24"/>
          <w:szCs w:val="24"/>
        </w:rPr>
      </w:pPr>
      <w:r w:rsidRPr="00332F87">
        <w:rPr>
          <w:rStyle w:val="footnotemark"/>
          <w:sz w:val="24"/>
          <w:szCs w:val="24"/>
        </w:rPr>
        <w:footnoteRef/>
      </w:r>
      <w:r w:rsidRPr="00332F87">
        <w:rPr>
          <w:sz w:val="24"/>
          <w:szCs w:val="24"/>
        </w:rPr>
        <w:t xml:space="preserve"> See Annex 2 for further details.  </w:t>
      </w:r>
    </w:p>
  </w:footnote>
  <w:footnote w:id="15">
    <w:p w14:paraId="13047D54" w14:textId="77777777" w:rsidR="00F93BB6" w:rsidRPr="00332F87" w:rsidRDefault="00F93BB6" w:rsidP="00332F87">
      <w:pPr>
        <w:pStyle w:val="footnotedescription"/>
        <w:spacing w:line="360" w:lineRule="auto"/>
        <w:rPr>
          <w:sz w:val="24"/>
          <w:szCs w:val="24"/>
        </w:rPr>
      </w:pPr>
      <w:r w:rsidRPr="00332F87">
        <w:rPr>
          <w:rStyle w:val="footnotemark"/>
          <w:sz w:val="24"/>
          <w:szCs w:val="24"/>
        </w:rPr>
        <w:footnoteRef/>
      </w:r>
      <w:r w:rsidRPr="00332F87">
        <w:rPr>
          <w:sz w:val="24"/>
          <w:szCs w:val="24"/>
        </w:rPr>
        <w:t xml:space="preserve"> UK TAG Paper 11b(i) ‘Groundwater Chemical Classification for the Purposes of the Water Framework Directive and the Groundwater Directive’, 2019. </w:t>
      </w:r>
    </w:p>
  </w:footnote>
  <w:footnote w:id="16">
    <w:p w14:paraId="74AAE9FB" w14:textId="77777777" w:rsidR="00EC7D96" w:rsidRPr="00332F87" w:rsidRDefault="00EC7D96" w:rsidP="00332F87">
      <w:pPr>
        <w:pStyle w:val="footnotedescription"/>
        <w:spacing w:line="360" w:lineRule="auto"/>
        <w:rPr>
          <w:sz w:val="24"/>
          <w:szCs w:val="24"/>
        </w:rPr>
      </w:pPr>
      <w:r w:rsidRPr="00332F87">
        <w:rPr>
          <w:rStyle w:val="footnotemark"/>
          <w:sz w:val="24"/>
          <w:szCs w:val="24"/>
        </w:rPr>
        <w:footnoteRef/>
      </w:r>
      <w:r w:rsidRPr="00332F87">
        <w:rPr>
          <w:sz w:val="24"/>
          <w:szCs w:val="24"/>
        </w:rPr>
        <w:t xml:space="preserve"> Common Implementation Strategy for the Water Framework Directive – Guidance Document No. 18 – Guidance on Groundwater Status and Trend Assessment.  </w:t>
      </w:r>
    </w:p>
  </w:footnote>
  <w:footnote w:id="17">
    <w:p w14:paraId="789921F9" w14:textId="77777777" w:rsidR="00B40195" w:rsidRDefault="00B40195" w:rsidP="00332F87">
      <w:pPr>
        <w:pStyle w:val="footnotedescription"/>
        <w:spacing w:line="360" w:lineRule="auto"/>
      </w:pPr>
      <w:r w:rsidRPr="00332F87">
        <w:rPr>
          <w:rStyle w:val="footnotemark"/>
          <w:sz w:val="24"/>
          <w:szCs w:val="24"/>
        </w:rPr>
        <w:footnoteRef/>
      </w:r>
      <w:r w:rsidRPr="00332F87">
        <w:rPr>
          <w:sz w:val="24"/>
          <w:szCs w:val="24"/>
        </w:rPr>
        <w:t xml:space="preserve"> This regime is also subject to The Contaminated Land (Scotland) Regulations 2000 (SSI 2000 No. 178) as amended and the Scottish Government’s Statutory Guidance: Edition 2.</w:t>
      </w:r>
      <w:r>
        <w:t xml:space="preserve"> </w:t>
      </w:r>
    </w:p>
  </w:footnote>
  <w:footnote w:id="18">
    <w:p w14:paraId="6B2DBF17" w14:textId="73FE95AD" w:rsidR="00CD1459" w:rsidRPr="00133573" w:rsidRDefault="00CD1459" w:rsidP="00133573">
      <w:pPr>
        <w:pStyle w:val="FootnoteText"/>
        <w:spacing w:line="360" w:lineRule="auto"/>
        <w:rPr>
          <w:sz w:val="24"/>
          <w:szCs w:val="24"/>
        </w:rPr>
      </w:pPr>
      <w:r w:rsidRPr="00133573">
        <w:rPr>
          <w:rStyle w:val="FootnoteReference"/>
          <w:sz w:val="24"/>
          <w:szCs w:val="24"/>
        </w:rPr>
        <w:footnoteRef/>
      </w:r>
      <w:r w:rsidRPr="00133573">
        <w:rPr>
          <w:sz w:val="24"/>
          <w:szCs w:val="24"/>
        </w:rPr>
        <w:t xml:space="preserve"> Using an appropriate testing method for both the media being tested and the contaminant(s) of concern.</w:t>
      </w:r>
    </w:p>
  </w:footnote>
  <w:footnote w:id="19">
    <w:p w14:paraId="3B48795C" w14:textId="1D7843E9" w:rsidR="0072791D" w:rsidRDefault="0072791D" w:rsidP="00133573">
      <w:pPr>
        <w:pStyle w:val="FootnoteText"/>
        <w:spacing w:line="360" w:lineRule="auto"/>
      </w:pPr>
      <w:r w:rsidRPr="00133573">
        <w:rPr>
          <w:rStyle w:val="FootnoteReference"/>
          <w:sz w:val="24"/>
          <w:szCs w:val="24"/>
        </w:rPr>
        <w:footnoteRef/>
      </w:r>
      <w:r w:rsidRPr="00133573">
        <w:rPr>
          <w:sz w:val="24"/>
          <w:szCs w:val="24"/>
        </w:rPr>
        <w:t xml:space="preserve"> Where mixtures of substances are present within a NAPL, the solubility of the individual substances may be adjusted in accordance with Raoult’s Law.</w:t>
      </w:r>
    </w:p>
  </w:footnote>
  <w:footnote w:id="20">
    <w:p w14:paraId="6C189C35" w14:textId="77777777" w:rsidR="00EF4A61" w:rsidRPr="00E97352" w:rsidRDefault="00EF4A61" w:rsidP="00EF4A61">
      <w:pPr>
        <w:pStyle w:val="footnotedescription"/>
        <w:spacing w:line="274" w:lineRule="auto"/>
        <w:rPr>
          <w:sz w:val="24"/>
          <w:szCs w:val="24"/>
        </w:rPr>
      </w:pPr>
      <w:r w:rsidRPr="00E97352">
        <w:rPr>
          <w:rStyle w:val="footnotemark"/>
          <w:sz w:val="24"/>
          <w:szCs w:val="24"/>
        </w:rPr>
        <w:footnoteRef/>
      </w:r>
      <w:r w:rsidRPr="00E97352">
        <w:rPr>
          <w:sz w:val="24"/>
          <w:szCs w:val="24"/>
        </w:rPr>
        <w:t xml:space="preserve"> This includes impacts to upgradient groundwater quality due to anthropogenic atmospheric emissions or other forms of diffuse pollution. </w:t>
      </w:r>
    </w:p>
  </w:footnote>
  <w:footnote w:id="21">
    <w:p w14:paraId="487E38E3" w14:textId="77777777" w:rsidR="007D4081" w:rsidRPr="00133573" w:rsidRDefault="007D4081" w:rsidP="007D4081">
      <w:pPr>
        <w:pStyle w:val="FootnoteText"/>
        <w:ind w:left="11" w:hanging="11"/>
        <w:rPr>
          <w:sz w:val="24"/>
          <w:szCs w:val="24"/>
        </w:rPr>
      </w:pPr>
      <w:r w:rsidRPr="00133573">
        <w:rPr>
          <w:rStyle w:val="FootnoteReference"/>
          <w:sz w:val="24"/>
          <w:szCs w:val="24"/>
        </w:rPr>
        <w:footnoteRef/>
      </w:r>
      <w:r w:rsidRPr="00133573">
        <w:rPr>
          <w:sz w:val="24"/>
          <w:szCs w:val="24"/>
        </w:rPr>
        <w:t xml:space="preserve"> Water Environment and Water Services (Scotland) Act 2003</w:t>
      </w:r>
    </w:p>
  </w:footnote>
  <w:footnote w:id="22">
    <w:p w14:paraId="2D5934E2" w14:textId="77777777" w:rsidR="007D4081" w:rsidRPr="00133573" w:rsidRDefault="007D4081" w:rsidP="007D4081">
      <w:pPr>
        <w:pStyle w:val="footnotedescription"/>
        <w:rPr>
          <w:sz w:val="24"/>
          <w:szCs w:val="24"/>
        </w:rPr>
      </w:pPr>
      <w:r w:rsidRPr="00133573">
        <w:rPr>
          <w:rStyle w:val="footnotemark"/>
          <w:sz w:val="24"/>
          <w:szCs w:val="24"/>
        </w:rPr>
        <w:footnoteRef/>
      </w:r>
      <w:r w:rsidRPr="00133573">
        <w:rPr>
          <w:sz w:val="24"/>
          <w:szCs w:val="24"/>
        </w:rPr>
        <w:t xml:space="preserve"> Takes into account that 95</w:t>
      </w:r>
      <w:r w:rsidRPr="00133573">
        <w:rPr>
          <w:sz w:val="24"/>
          <w:szCs w:val="24"/>
          <w:vertAlign w:val="superscript"/>
        </w:rPr>
        <w:t>th</w:t>
      </w:r>
      <w:r w:rsidRPr="00133573">
        <w:rPr>
          <w:sz w:val="24"/>
          <w:szCs w:val="24"/>
        </w:rPr>
        <w:t xml:space="preserve"> percentile baseflow index for Scottish water bodies is &lt;0.5.  </w:t>
      </w:r>
    </w:p>
  </w:footnote>
  <w:footnote w:id="23">
    <w:p w14:paraId="524E8277" w14:textId="77777777" w:rsidR="007D4081" w:rsidRPr="00133573" w:rsidRDefault="007D4081" w:rsidP="007D4081">
      <w:pPr>
        <w:pStyle w:val="footnotedescription"/>
        <w:rPr>
          <w:sz w:val="24"/>
          <w:szCs w:val="24"/>
        </w:rPr>
      </w:pPr>
      <w:r w:rsidRPr="00133573">
        <w:rPr>
          <w:rStyle w:val="footnotemark"/>
          <w:sz w:val="24"/>
          <w:szCs w:val="24"/>
        </w:rPr>
        <w:footnoteRef/>
      </w:r>
      <w:r w:rsidRPr="00133573">
        <w:rPr>
          <w:sz w:val="24"/>
          <w:szCs w:val="24"/>
        </w:rPr>
        <w:t xml:space="preserve"> For example, as described in Mixing in Inland and Coastal Waters by Fischer </w:t>
      </w:r>
      <w:r w:rsidRPr="00133573">
        <w:rPr>
          <w:i/>
          <w:sz w:val="24"/>
          <w:szCs w:val="24"/>
        </w:rPr>
        <w:t>et al</w:t>
      </w:r>
      <w:r w:rsidRPr="00133573">
        <w:rPr>
          <w:sz w:val="24"/>
          <w:szCs w:val="24"/>
        </w:rPr>
        <w:t xml:space="preserve"> 1979.  </w:t>
      </w:r>
    </w:p>
  </w:footnote>
  <w:footnote w:id="24">
    <w:p w14:paraId="6B1D925A" w14:textId="77777777" w:rsidR="0049095B" w:rsidRPr="005765EF" w:rsidRDefault="0049095B" w:rsidP="0049095B">
      <w:pPr>
        <w:pStyle w:val="footnotedescription"/>
        <w:spacing w:after="12"/>
        <w:rPr>
          <w:sz w:val="24"/>
          <w:szCs w:val="24"/>
        </w:rPr>
      </w:pPr>
      <w:r w:rsidRPr="005765EF">
        <w:rPr>
          <w:rStyle w:val="footnotemark"/>
          <w:sz w:val="24"/>
          <w:szCs w:val="24"/>
        </w:rPr>
        <w:footnoteRef/>
      </w:r>
      <w:r w:rsidRPr="005765EF">
        <w:rPr>
          <w:sz w:val="24"/>
          <w:szCs w:val="24"/>
        </w:rPr>
        <w:t xml:space="preserve"> Technical report on groundwater dependent terrestrial ecosystems, December 2011</w:t>
      </w:r>
    </w:p>
  </w:footnote>
  <w:footnote w:id="25">
    <w:p w14:paraId="5D4A2E2C" w14:textId="77777777" w:rsidR="00A92952" w:rsidRPr="005765EF" w:rsidRDefault="00A92952" w:rsidP="00A92952">
      <w:pPr>
        <w:pStyle w:val="BodyText1"/>
      </w:pPr>
      <w:r w:rsidRPr="005765EF">
        <w:rPr>
          <w:rStyle w:val="footnotemark"/>
          <w:sz w:val="24"/>
        </w:rPr>
        <w:footnoteRef/>
      </w:r>
      <w:r w:rsidRPr="005765EF">
        <w:t xml:space="preserve"> Pollutant criteria for water destined for human consumption or surface water ecosystems may often be used as a starting point to risk screen if these pollutants could cause significant damage. </w:t>
      </w:r>
    </w:p>
  </w:footnote>
  <w:footnote w:id="26">
    <w:p w14:paraId="35F884B7" w14:textId="77777777" w:rsidR="00B738AC" w:rsidRPr="005765EF" w:rsidRDefault="00B738AC" w:rsidP="005765EF">
      <w:pPr>
        <w:pStyle w:val="footnotedescription"/>
        <w:spacing w:after="14" w:line="360" w:lineRule="auto"/>
        <w:rPr>
          <w:sz w:val="24"/>
          <w:szCs w:val="24"/>
        </w:rPr>
      </w:pPr>
      <w:r w:rsidRPr="005765EF">
        <w:rPr>
          <w:rStyle w:val="footnotemark"/>
          <w:sz w:val="24"/>
          <w:szCs w:val="24"/>
        </w:rPr>
        <w:footnoteRef/>
      </w:r>
      <w:r w:rsidRPr="005765EF">
        <w:rPr>
          <w:sz w:val="24"/>
          <w:szCs w:val="24"/>
        </w:rPr>
        <w:t xml:space="preserve"> Based on low permeability indicator quoted in Swartz, M., Misstear, B.D.R, Daly, D. and Farrell, E.R., 2003. Assessing subsoil permeability for groundwater vulnerability. Quarterly Journal of Engineering Geology and Hydrogeology, v36, p173-184.  </w:t>
      </w:r>
    </w:p>
  </w:footnote>
  <w:footnote w:id="27">
    <w:p w14:paraId="3AFECC99" w14:textId="77777777" w:rsidR="003B30F3" w:rsidRPr="005765EF" w:rsidRDefault="003B30F3" w:rsidP="006A5B6A">
      <w:pPr>
        <w:pStyle w:val="BodyText1"/>
      </w:pPr>
      <w:r w:rsidRPr="005765EF">
        <w:rPr>
          <w:rStyle w:val="footnotemark"/>
          <w:sz w:val="24"/>
        </w:rPr>
        <w:footnoteRef/>
      </w:r>
      <w:r w:rsidRPr="005765EF">
        <w:t xml:space="preserve"> Taking into account the relative thicknesses and hydraulic conductivities of the various lithological horizons within the saturated superficial deposits.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4D32"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7FEE7FE5" wp14:editId="7BAD61A9">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E4559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EE7FE5"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8E4559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79BB" w14:textId="32D8D1E8"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458878C5" wp14:editId="1F8DF875">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055B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8878C5"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42055B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564BCA">
      <w:rPr>
        <w:color w:val="6E7571" w:themeColor="text2"/>
      </w:rPr>
      <w:t>Assigning</w:t>
    </w:r>
    <w:r w:rsidR="00B50317">
      <w:rPr>
        <w:color w:val="6E7571" w:themeColor="text2"/>
      </w:rPr>
      <w:t xml:space="preserve"> groundwater assessment criteria for pollutant in</w:t>
    </w:r>
    <w:r w:rsidR="00564BCA">
      <w:rPr>
        <w:color w:val="6E7571" w:themeColor="text2"/>
      </w:rPr>
      <w:t>p</w:t>
    </w:r>
    <w:r w:rsidR="00B50317">
      <w:rPr>
        <w:color w:val="6E7571" w:themeColor="text2"/>
      </w:rPr>
      <w:t>uts</w:t>
    </w:r>
  </w:p>
  <w:p w14:paraId="0920B528"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248160A5" wp14:editId="12656001">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69A1D9"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E670"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4353BFD3" wp14:editId="7EF2D665">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4139B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53BFD3"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74139B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77EF6"/>
    <w:multiLevelType w:val="hybridMultilevel"/>
    <w:tmpl w:val="EBC0AC66"/>
    <w:lvl w:ilvl="0" w:tplc="412ED29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24C3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9E68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9EBA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2675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B62B6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4CAC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C88F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AAC3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2B919B5"/>
    <w:multiLevelType w:val="hybridMultilevel"/>
    <w:tmpl w:val="0E7E38D4"/>
    <w:lvl w:ilvl="0" w:tplc="08090001">
      <w:start w:val="1"/>
      <w:numFmt w:val="bullet"/>
      <w:lvlText w:val=""/>
      <w:lvlJc w:val="left"/>
      <w:pPr>
        <w:ind w:left="77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D60E2E8">
      <w:start w:val="1"/>
      <w:numFmt w:val="bullet"/>
      <w:lvlText w:val="o"/>
      <w:lvlJc w:val="left"/>
      <w:pPr>
        <w:ind w:left="1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046BF8">
      <w:start w:val="1"/>
      <w:numFmt w:val="bullet"/>
      <w:lvlText w:val="▪"/>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0E4AA0">
      <w:start w:val="1"/>
      <w:numFmt w:val="bullet"/>
      <w:lvlText w:val="•"/>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8EF8A0">
      <w:start w:val="1"/>
      <w:numFmt w:val="bullet"/>
      <w:lvlText w:val="o"/>
      <w:lvlJc w:val="left"/>
      <w:pPr>
        <w:ind w:left="36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D6A0E4">
      <w:start w:val="1"/>
      <w:numFmt w:val="bullet"/>
      <w:lvlText w:val="▪"/>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DE7508">
      <w:start w:val="1"/>
      <w:numFmt w:val="bullet"/>
      <w:lvlText w:val="•"/>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D4C00E">
      <w:start w:val="1"/>
      <w:numFmt w:val="bullet"/>
      <w:lvlText w:val="o"/>
      <w:lvlJc w:val="left"/>
      <w:pPr>
        <w:ind w:left="58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E4CF2E">
      <w:start w:val="1"/>
      <w:numFmt w:val="bullet"/>
      <w:lvlText w:val="▪"/>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3BB5C95"/>
    <w:multiLevelType w:val="hybridMultilevel"/>
    <w:tmpl w:val="391AE936"/>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13" w15:restartNumberingAfterBreak="0">
    <w:nsid w:val="05331816"/>
    <w:multiLevelType w:val="hybridMultilevel"/>
    <w:tmpl w:val="77D0D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3E4A61"/>
    <w:multiLevelType w:val="hybridMultilevel"/>
    <w:tmpl w:val="7BE8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0939A6"/>
    <w:multiLevelType w:val="hybridMultilevel"/>
    <w:tmpl w:val="BF00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4115DD"/>
    <w:multiLevelType w:val="multilevel"/>
    <w:tmpl w:val="04825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30064D"/>
    <w:multiLevelType w:val="hybridMultilevel"/>
    <w:tmpl w:val="BA60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E93955"/>
    <w:multiLevelType w:val="hybridMultilevel"/>
    <w:tmpl w:val="54247C0E"/>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9" w15:restartNumberingAfterBreak="0">
    <w:nsid w:val="130B3F83"/>
    <w:multiLevelType w:val="hybridMultilevel"/>
    <w:tmpl w:val="C4F0A7C4"/>
    <w:lvl w:ilvl="0" w:tplc="A7AE361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133C683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4A71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76AA3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4E918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48533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04176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B801C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6783EAF"/>
    <w:multiLevelType w:val="hybridMultilevel"/>
    <w:tmpl w:val="EB26D5E0"/>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21" w15:restartNumberingAfterBreak="0">
    <w:nsid w:val="168C2704"/>
    <w:multiLevelType w:val="hybridMultilevel"/>
    <w:tmpl w:val="E9C48B74"/>
    <w:lvl w:ilvl="0" w:tplc="A7AE361E">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6AD2A75"/>
    <w:multiLevelType w:val="hybridMultilevel"/>
    <w:tmpl w:val="5ADAEAC2"/>
    <w:lvl w:ilvl="0" w:tplc="CFB4D5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920097D"/>
    <w:multiLevelType w:val="multilevel"/>
    <w:tmpl w:val="877C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9A8700F"/>
    <w:multiLevelType w:val="hybridMultilevel"/>
    <w:tmpl w:val="8BF47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BC746D"/>
    <w:multiLevelType w:val="hybridMultilevel"/>
    <w:tmpl w:val="98964E2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6" w15:restartNumberingAfterBreak="0">
    <w:nsid w:val="1A847661"/>
    <w:multiLevelType w:val="hybridMultilevel"/>
    <w:tmpl w:val="6422E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5D6A91"/>
    <w:multiLevelType w:val="hybridMultilevel"/>
    <w:tmpl w:val="F3A24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E607252"/>
    <w:multiLevelType w:val="multilevel"/>
    <w:tmpl w:val="FE3E31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0051CC9"/>
    <w:multiLevelType w:val="hybridMultilevel"/>
    <w:tmpl w:val="E77A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1916C01"/>
    <w:multiLevelType w:val="hybridMultilevel"/>
    <w:tmpl w:val="5A26D15A"/>
    <w:lvl w:ilvl="0" w:tplc="A7AE361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2FE1AFC"/>
    <w:multiLevelType w:val="hybridMultilevel"/>
    <w:tmpl w:val="CEDA2856"/>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ED89652">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5E7D1C">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986B86">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44DAA4">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26845C">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3C14EC">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5EFC34">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34E2F6">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5D93ADB"/>
    <w:multiLevelType w:val="hybridMultilevel"/>
    <w:tmpl w:val="2A5A1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82B41E8"/>
    <w:multiLevelType w:val="hybridMultilevel"/>
    <w:tmpl w:val="C85CFEE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2DE273D5"/>
    <w:multiLevelType w:val="hybridMultilevel"/>
    <w:tmpl w:val="F60E2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F0E61DE"/>
    <w:multiLevelType w:val="hybridMultilevel"/>
    <w:tmpl w:val="0AD62752"/>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D1E1F98">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9AD542">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2C42BA">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DC528E">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6E45F2">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88A1D0">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C252CE">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9C78D4">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F657250"/>
    <w:multiLevelType w:val="hybridMultilevel"/>
    <w:tmpl w:val="85DE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F9F2324"/>
    <w:multiLevelType w:val="hybridMultilevel"/>
    <w:tmpl w:val="C93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FDD7F5D"/>
    <w:multiLevelType w:val="hybridMultilevel"/>
    <w:tmpl w:val="DBA04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3086E7F"/>
    <w:multiLevelType w:val="hybridMultilevel"/>
    <w:tmpl w:val="C85265A8"/>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718D5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C06B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3E35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7079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7ECCE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92DF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76556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B4CC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4282FA9"/>
    <w:multiLevelType w:val="hybridMultilevel"/>
    <w:tmpl w:val="73866BFE"/>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86C348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7CEA6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C2B2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124E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0C54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98F1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FC85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562F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67F7344"/>
    <w:multiLevelType w:val="hybridMultilevel"/>
    <w:tmpl w:val="8FB4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75F7162"/>
    <w:multiLevelType w:val="hybridMultilevel"/>
    <w:tmpl w:val="1A6A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9460167"/>
    <w:multiLevelType w:val="hybridMultilevel"/>
    <w:tmpl w:val="D3D88DDC"/>
    <w:lvl w:ilvl="0" w:tplc="B0CAD23E">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F28CA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6629B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06985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6C2E9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5A2E6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B4CD0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BA3E2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061FC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94E1650"/>
    <w:multiLevelType w:val="hybridMultilevel"/>
    <w:tmpl w:val="14D476A6"/>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2B6C1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4C3F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54B0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6820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60FAD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F6F8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58D54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5681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9995F07"/>
    <w:multiLevelType w:val="hybridMultilevel"/>
    <w:tmpl w:val="C756A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9F06BB2"/>
    <w:multiLevelType w:val="multilevel"/>
    <w:tmpl w:val="AD983E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B07301B"/>
    <w:multiLevelType w:val="multilevel"/>
    <w:tmpl w:val="743EFE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09D7A5A"/>
    <w:multiLevelType w:val="hybridMultilevel"/>
    <w:tmpl w:val="511868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41226BC2"/>
    <w:multiLevelType w:val="hybridMultilevel"/>
    <w:tmpl w:val="9976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184398F"/>
    <w:multiLevelType w:val="hybridMultilevel"/>
    <w:tmpl w:val="A31E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1854DBD"/>
    <w:multiLevelType w:val="hybridMultilevel"/>
    <w:tmpl w:val="21562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21D0D99"/>
    <w:multiLevelType w:val="hybridMultilevel"/>
    <w:tmpl w:val="E364F2A2"/>
    <w:lvl w:ilvl="0" w:tplc="CFB4D5D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2A567C0"/>
    <w:multiLevelType w:val="hybridMultilevel"/>
    <w:tmpl w:val="0E761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480B005"/>
    <w:multiLevelType w:val="hybridMultilevel"/>
    <w:tmpl w:val="D5467012"/>
    <w:lvl w:ilvl="0" w:tplc="03FE6D8C">
      <w:start w:val="1"/>
      <w:numFmt w:val="bullet"/>
      <w:lvlText w:val=""/>
      <w:lvlJc w:val="left"/>
      <w:pPr>
        <w:ind w:left="720" w:hanging="360"/>
      </w:pPr>
      <w:rPr>
        <w:rFonts w:ascii="Symbol" w:hAnsi="Symbol" w:hint="default"/>
      </w:rPr>
    </w:lvl>
    <w:lvl w:ilvl="1" w:tplc="EE328930">
      <w:start w:val="1"/>
      <w:numFmt w:val="bullet"/>
      <w:lvlText w:val="o"/>
      <w:lvlJc w:val="left"/>
      <w:pPr>
        <w:ind w:left="1440" w:hanging="360"/>
      </w:pPr>
      <w:rPr>
        <w:rFonts w:ascii="Courier New" w:hAnsi="Courier New" w:hint="default"/>
      </w:rPr>
    </w:lvl>
    <w:lvl w:ilvl="2" w:tplc="8E6EA398">
      <w:start w:val="1"/>
      <w:numFmt w:val="bullet"/>
      <w:lvlText w:val=""/>
      <w:lvlJc w:val="left"/>
      <w:pPr>
        <w:ind w:left="2160" w:hanging="360"/>
      </w:pPr>
      <w:rPr>
        <w:rFonts w:ascii="Wingdings" w:hAnsi="Wingdings" w:hint="default"/>
      </w:rPr>
    </w:lvl>
    <w:lvl w:ilvl="3" w:tplc="9A8A0A30">
      <w:start w:val="1"/>
      <w:numFmt w:val="bullet"/>
      <w:lvlText w:val=""/>
      <w:lvlJc w:val="left"/>
      <w:pPr>
        <w:ind w:left="2880" w:hanging="360"/>
      </w:pPr>
      <w:rPr>
        <w:rFonts w:ascii="Symbol" w:hAnsi="Symbol" w:hint="default"/>
      </w:rPr>
    </w:lvl>
    <w:lvl w:ilvl="4" w:tplc="44B89304">
      <w:start w:val="1"/>
      <w:numFmt w:val="bullet"/>
      <w:lvlText w:val="o"/>
      <w:lvlJc w:val="left"/>
      <w:pPr>
        <w:ind w:left="3600" w:hanging="360"/>
      </w:pPr>
      <w:rPr>
        <w:rFonts w:ascii="Courier New" w:hAnsi="Courier New" w:hint="default"/>
      </w:rPr>
    </w:lvl>
    <w:lvl w:ilvl="5" w:tplc="6C64C20A">
      <w:start w:val="1"/>
      <w:numFmt w:val="bullet"/>
      <w:lvlText w:val=""/>
      <w:lvlJc w:val="left"/>
      <w:pPr>
        <w:ind w:left="4320" w:hanging="360"/>
      </w:pPr>
      <w:rPr>
        <w:rFonts w:ascii="Wingdings" w:hAnsi="Wingdings" w:hint="default"/>
      </w:rPr>
    </w:lvl>
    <w:lvl w:ilvl="6" w:tplc="AE2C7A5A">
      <w:start w:val="1"/>
      <w:numFmt w:val="bullet"/>
      <w:lvlText w:val=""/>
      <w:lvlJc w:val="left"/>
      <w:pPr>
        <w:ind w:left="5040" w:hanging="360"/>
      </w:pPr>
      <w:rPr>
        <w:rFonts w:ascii="Symbol" w:hAnsi="Symbol" w:hint="default"/>
      </w:rPr>
    </w:lvl>
    <w:lvl w:ilvl="7" w:tplc="4D3A2C3A">
      <w:start w:val="1"/>
      <w:numFmt w:val="bullet"/>
      <w:lvlText w:val="o"/>
      <w:lvlJc w:val="left"/>
      <w:pPr>
        <w:ind w:left="5760" w:hanging="360"/>
      </w:pPr>
      <w:rPr>
        <w:rFonts w:ascii="Courier New" w:hAnsi="Courier New" w:hint="default"/>
      </w:rPr>
    </w:lvl>
    <w:lvl w:ilvl="8" w:tplc="05A6F2BE">
      <w:start w:val="1"/>
      <w:numFmt w:val="bullet"/>
      <w:lvlText w:val=""/>
      <w:lvlJc w:val="left"/>
      <w:pPr>
        <w:ind w:left="6480" w:hanging="360"/>
      </w:pPr>
      <w:rPr>
        <w:rFonts w:ascii="Wingdings" w:hAnsi="Wingdings" w:hint="default"/>
      </w:rPr>
    </w:lvl>
  </w:abstractNum>
  <w:abstractNum w:abstractNumId="56" w15:restartNumberingAfterBreak="0">
    <w:nsid w:val="457B3408"/>
    <w:multiLevelType w:val="hybridMultilevel"/>
    <w:tmpl w:val="D910E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60D2285"/>
    <w:multiLevelType w:val="hybridMultilevel"/>
    <w:tmpl w:val="E188D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7AB27DB"/>
    <w:multiLevelType w:val="hybridMultilevel"/>
    <w:tmpl w:val="7C02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7CE5A88"/>
    <w:multiLevelType w:val="hybridMultilevel"/>
    <w:tmpl w:val="0EFAF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AF902E0"/>
    <w:multiLevelType w:val="hybridMultilevel"/>
    <w:tmpl w:val="E94A4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B40127C"/>
    <w:multiLevelType w:val="hybridMultilevel"/>
    <w:tmpl w:val="C8308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B682943"/>
    <w:multiLevelType w:val="hybridMultilevel"/>
    <w:tmpl w:val="788E8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FA83510"/>
    <w:multiLevelType w:val="hybridMultilevel"/>
    <w:tmpl w:val="9FF40502"/>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66631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76CE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9880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6443A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961A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98B1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DC9E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80F9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04475F6"/>
    <w:multiLevelType w:val="hybridMultilevel"/>
    <w:tmpl w:val="3F9EE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1365B48"/>
    <w:multiLevelType w:val="hybridMultilevel"/>
    <w:tmpl w:val="68804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1574BFC"/>
    <w:multiLevelType w:val="hybridMultilevel"/>
    <w:tmpl w:val="A5EE335A"/>
    <w:lvl w:ilvl="0" w:tplc="68FAA64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1A1E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062F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46B2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B23A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6479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94B2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EC44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BC45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189297D"/>
    <w:multiLevelType w:val="hybridMultilevel"/>
    <w:tmpl w:val="B854D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1961E7B"/>
    <w:multiLevelType w:val="hybridMultilevel"/>
    <w:tmpl w:val="064AC1A2"/>
    <w:lvl w:ilvl="0" w:tplc="1AAA5E9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AE38E0">
      <w:start w:val="1"/>
      <w:numFmt w:val="bullet"/>
      <w:lvlText w:val="o"/>
      <w:lvlJc w:val="left"/>
      <w:pPr>
        <w:ind w:left="1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6EE366">
      <w:start w:val="1"/>
      <w:numFmt w:val="bullet"/>
      <w:lvlText w:val="▪"/>
      <w:lvlJc w:val="left"/>
      <w:pPr>
        <w:ind w:left="22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8C0A86">
      <w:start w:val="1"/>
      <w:numFmt w:val="bullet"/>
      <w:lvlText w:val="•"/>
      <w:lvlJc w:val="left"/>
      <w:pPr>
        <w:ind w:left="3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9E1BD2">
      <w:start w:val="1"/>
      <w:numFmt w:val="bullet"/>
      <w:lvlText w:val="o"/>
      <w:lvlJc w:val="left"/>
      <w:pPr>
        <w:ind w:left="3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86792A">
      <w:start w:val="1"/>
      <w:numFmt w:val="bullet"/>
      <w:lvlText w:val="▪"/>
      <w:lvlJc w:val="left"/>
      <w:pPr>
        <w:ind w:left="4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DCD0D6">
      <w:start w:val="1"/>
      <w:numFmt w:val="bullet"/>
      <w:lvlText w:val="•"/>
      <w:lvlJc w:val="left"/>
      <w:pPr>
        <w:ind w:left="5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50BEFC">
      <w:start w:val="1"/>
      <w:numFmt w:val="bullet"/>
      <w:lvlText w:val="o"/>
      <w:lvlJc w:val="left"/>
      <w:pPr>
        <w:ind w:left="5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32D8CE">
      <w:start w:val="1"/>
      <w:numFmt w:val="bullet"/>
      <w:lvlText w:val="▪"/>
      <w:lvlJc w:val="left"/>
      <w:pPr>
        <w:ind w:left="6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535829D8"/>
    <w:multiLevelType w:val="hybridMultilevel"/>
    <w:tmpl w:val="22A8D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5A27368"/>
    <w:multiLevelType w:val="hybridMultilevel"/>
    <w:tmpl w:val="D4208ACE"/>
    <w:lvl w:ilvl="0" w:tplc="A3DE0A8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1">
      <w:start w:val="1"/>
      <w:numFmt w:val="bullet"/>
      <w:lvlText w:val=""/>
      <w:lvlJc w:val="left"/>
      <w:pPr>
        <w:ind w:left="62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671E7270">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72D4D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BEF858">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0C627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085A8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20DD9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72B30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55B97373"/>
    <w:multiLevelType w:val="hybridMultilevel"/>
    <w:tmpl w:val="AC1AE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75A7259"/>
    <w:multiLevelType w:val="hybridMultilevel"/>
    <w:tmpl w:val="1F962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820007E"/>
    <w:multiLevelType w:val="hybridMultilevel"/>
    <w:tmpl w:val="504CEA9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593645D6"/>
    <w:multiLevelType w:val="hybridMultilevel"/>
    <w:tmpl w:val="B59CA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9EE5374"/>
    <w:multiLevelType w:val="hybridMultilevel"/>
    <w:tmpl w:val="AC12B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CC824E9"/>
    <w:multiLevelType w:val="hybridMultilevel"/>
    <w:tmpl w:val="549403A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77" w15:restartNumberingAfterBreak="0">
    <w:nsid w:val="5CED3B2C"/>
    <w:multiLevelType w:val="hybridMultilevel"/>
    <w:tmpl w:val="9D5A0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1D16629"/>
    <w:multiLevelType w:val="hybridMultilevel"/>
    <w:tmpl w:val="89E23A74"/>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2424D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D4E6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000F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F892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0061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B4B6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CC8F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1299E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631D13DA"/>
    <w:multiLevelType w:val="hybridMultilevel"/>
    <w:tmpl w:val="73DC5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3377651"/>
    <w:multiLevelType w:val="hybridMultilevel"/>
    <w:tmpl w:val="C288612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1" w15:restartNumberingAfterBreak="0">
    <w:nsid w:val="63CC45F4"/>
    <w:multiLevelType w:val="hybridMultilevel"/>
    <w:tmpl w:val="C980D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53A268F"/>
    <w:multiLevelType w:val="hybridMultilevel"/>
    <w:tmpl w:val="DB1C5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6215B29"/>
    <w:multiLevelType w:val="hybridMultilevel"/>
    <w:tmpl w:val="DA407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74B068A"/>
    <w:multiLevelType w:val="hybridMultilevel"/>
    <w:tmpl w:val="187480C6"/>
    <w:lvl w:ilvl="0" w:tplc="A7AE361E">
      <w:start w:val="1"/>
      <w:numFmt w:val="bullet"/>
      <w:lvlText w:val="•"/>
      <w:lvlJc w:val="left"/>
      <w:pPr>
        <w:ind w:left="71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85" w15:restartNumberingAfterBreak="0">
    <w:nsid w:val="692B577D"/>
    <w:multiLevelType w:val="hybridMultilevel"/>
    <w:tmpl w:val="F7644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9BF0DD2"/>
    <w:multiLevelType w:val="hybridMultilevel"/>
    <w:tmpl w:val="E0D26A9E"/>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5EAAB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803E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9E51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E80CA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9ED0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7012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64E5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AC28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6A3A07AC"/>
    <w:multiLevelType w:val="multilevel"/>
    <w:tmpl w:val="278C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B277B45"/>
    <w:multiLevelType w:val="hybridMultilevel"/>
    <w:tmpl w:val="BA68B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C0708C5"/>
    <w:multiLevelType w:val="hybridMultilevel"/>
    <w:tmpl w:val="38AA56F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6C4313E3"/>
    <w:multiLevelType w:val="hybridMultilevel"/>
    <w:tmpl w:val="3A9C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FB2601D"/>
    <w:multiLevelType w:val="hybridMultilevel"/>
    <w:tmpl w:val="116E1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0EF536C"/>
    <w:multiLevelType w:val="hybridMultilevel"/>
    <w:tmpl w:val="2B023B28"/>
    <w:lvl w:ilvl="0" w:tplc="F920CE0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0E1B2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4CBA6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002E8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90E69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70DD8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D89DC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ACEE2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96F5D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71466823"/>
    <w:multiLevelType w:val="hybridMultilevel"/>
    <w:tmpl w:val="A7760196"/>
    <w:lvl w:ilvl="0" w:tplc="4EDE004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7E1D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7A55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6A27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069F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C4F9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2A88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9E19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F878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71A0506B"/>
    <w:multiLevelType w:val="hybridMultilevel"/>
    <w:tmpl w:val="C726B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5FB6B7E"/>
    <w:multiLevelType w:val="hybridMultilevel"/>
    <w:tmpl w:val="20AA9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6ED3539"/>
    <w:multiLevelType w:val="hybridMultilevel"/>
    <w:tmpl w:val="7E0CF0DC"/>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6F4A7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FE9BF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8E91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40EF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CED56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9A46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C6FF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C62CC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77A265B4"/>
    <w:multiLevelType w:val="hybridMultilevel"/>
    <w:tmpl w:val="13BC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7AA03B0"/>
    <w:multiLevelType w:val="hybridMultilevel"/>
    <w:tmpl w:val="A89E25CC"/>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8E095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EAAC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8641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2E8A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42E2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FA4B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0C49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263A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8F34670"/>
    <w:multiLevelType w:val="hybridMultilevel"/>
    <w:tmpl w:val="E2124BF2"/>
    <w:lvl w:ilvl="0" w:tplc="1BECAF8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5E63D2">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36C460">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4206A8">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D4CB50">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5A7918">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1681FE">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80D5F8">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30F318">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79CE33E8"/>
    <w:multiLevelType w:val="hybridMultilevel"/>
    <w:tmpl w:val="1BB6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A61342C"/>
    <w:multiLevelType w:val="hybridMultilevel"/>
    <w:tmpl w:val="9B40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BB062D7"/>
    <w:multiLevelType w:val="hybridMultilevel"/>
    <w:tmpl w:val="1F148FC4"/>
    <w:lvl w:ilvl="0" w:tplc="08090001">
      <w:start w:val="1"/>
      <w:numFmt w:val="bullet"/>
      <w:lvlText w:val=""/>
      <w:lvlJc w:val="left"/>
      <w:pPr>
        <w:ind w:left="703" w:hanging="360"/>
      </w:pPr>
      <w:rPr>
        <w:rFonts w:ascii="Symbol" w:hAnsi="Symbol"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105" w15:restartNumberingAfterBreak="0">
    <w:nsid w:val="7F0B17CD"/>
    <w:multiLevelType w:val="hybridMultilevel"/>
    <w:tmpl w:val="6CC09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88"/>
  </w:num>
  <w:num w:numId="12" w16cid:durableId="791052000">
    <w:abstractNumId w:val="32"/>
  </w:num>
  <w:num w:numId="13" w16cid:durableId="593785568">
    <w:abstractNumId w:val="100"/>
  </w:num>
  <w:num w:numId="14" w16cid:durableId="1329404045">
    <w:abstractNumId w:val="87"/>
  </w:num>
  <w:num w:numId="15" w16cid:durableId="1700085038">
    <w:abstractNumId w:val="23"/>
  </w:num>
  <w:num w:numId="16" w16cid:durableId="1565871381">
    <w:abstractNumId w:val="16"/>
  </w:num>
  <w:num w:numId="17" w16cid:durableId="1571191973">
    <w:abstractNumId w:val="47"/>
  </w:num>
  <w:num w:numId="18" w16cid:durableId="456022269">
    <w:abstractNumId w:val="28"/>
  </w:num>
  <w:num w:numId="19" w16cid:durableId="1687755115">
    <w:abstractNumId w:val="48"/>
  </w:num>
  <w:num w:numId="20" w16cid:durableId="1984383499">
    <w:abstractNumId w:val="51"/>
  </w:num>
  <w:num w:numId="21" w16cid:durableId="1223297950">
    <w:abstractNumId w:val="81"/>
  </w:num>
  <w:num w:numId="22" w16cid:durableId="1096899638">
    <w:abstractNumId w:val="77"/>
  </w:num>
  <w:num w:numId="23" w16cid:durableId="1508788996">
    <w:abstractNumId w:val="45"/>
  </w:num>
  <w:num w:numId="24" w16cid:durableId="1155297582">
    <w:abstractNumId w:val="25"/>
  </w:num>
  <w:num w:numId="25" w16cid:durableId="774400922">
    <w:abstractNumId w:val="78"/>
  </w:num>
  <w:num w:numId="26" w16cid:durableId="1378892115">
    <w:abstractNumId w:val="86"/>
  </w:num>
  <w:num w:numId="27" w16cid:durableId="743528773">
    <w:abstractNumId w:val="70"/>
  </w:num>
  <w:num w:numId="28" w16cid:durableId="1105540953">
    <w:abstractNumId w:val="19"/>
  </w:num>
  <w:num w:numId="29" w16cid:durableId="784662751">
    <w:abstractNumId w:val="30"/>
  </w:num>
  <w:num w:numId="30" w16cid:durableId="1187668942">
    <w:abstractNumId w:val="21"/>
  </w:num>
  <w:num w:numId="31" w16cid:durableId="936671172">
    <w:abstractNumId w:val="41"/>
  </w:num>
  <w:num w:numId="32" w16cid:durableId="373114140">
    <w:abstractNumId w:val="63"/>
  </w:num>
  <w:num w:numId="33" w16cid:durableId="855189239">
    <w:abstractNumId w:val="94"/>
  </w:num>
  <w:num w:numId="34" w16cid:durableId="424571736">
    <w:abstractNumId w:val="76"/>
  </w:num>
  <w:num w:numId="35" w16cid:durableId="2052150948">
    <w:abstractNumId w:val="10"/>
  </w:num>
  <w:num w:numId="36" w16cid:durableId="1104883714">
    <w:abstractNumId w:val="80"/>
  </w:num>
  <w:num w:numId="37" w16cid:durableId="1943607934">
    <w:abstractNumId w:val="101"/>
  </w:num>
  <w:num w:numId="38" w16cid:durableId="918295147">
    <w:abstractNumId w:val="44"/>
  </w:num>
  <w:num w:numId="39" w16cid:durableId="2051490462">
    <w:abstractNumId w:val="66"/>
  </w:num>
  <w:num w:numId="40" w16cid:durableId="811867271">
    <w:abstractNumId w:val="104"/>
  </w:num>
  <w:num w:numId="41" w16cid:durableId="1687562291">
    <w:abstractNumId w:val="36"/>
  </w:num>
  <w:num w:numId="42" w16cid:durableId="147987407">
    <w:abstractNumId w:val="97"/>
  </w:num>
  <w:num w:numId="43" w16cid:durableId="1993674532">
    <w:abstractNumId w:val="99"/>
  </w:num>
  <w:num w:numId="44" w16cid:durableId="314068449">
    <w:abstractNumId w:val="40"/>
  </w:num>
  <w:num w:numId="45" w16cid:durableId="1203785319">
    <w:abstractNumId w:val="49"/>
  </w:num>
  <w:num w:numId="46" w16cid:durableId="1383483441">
    <w:abstractNumId w:val="11"/>
  </w:num>
  <w:num w:numId="47" w16cid:durableId="2045014593">
    <w:abstractNumId w:val="68"/>
  </w:num>
  <w:num w:numId="48" w16cid:durableId="1148549912">
    <w:abstractNumId w:val="93"/>
  </w:num>
  <w:num w:numId="49" w16cid:durableId="1416123950">
    <w:abstractNumId w:val="53"/>
  </w:num>
  <w:num w:numId="50" w16cid:durableId="1120732789">
    <w:abstractNumId w:val="84"/>
  </w:num>
  <w:num w:numId="51" w16cid:durableId="1590581338">
    <w:abstractNumId w:val="22"/>
  </w:num>
  <w:num w:numId="52" w16cid:durableId="426384796">
    <w:abstractNumId w:val="31"/>
  </w:num>
  <w:num w:numId="53" w16cid:durableId="534000260">
    <w:abstractNumId w:val="38"/>
  </w:num>
  <w:num w:numId="54" w16cid:durableId="1846284128">
    <w:abstractNumId w:val="18"/>
  </w:num>
  <w:num w:numId="55" w16cid:durableId="1748767630">
    <w:abstractNumId w:val="75"/>
  </w:num>
  <w:num w:numId="56" w16cid:durableId="405301045">
    <w:abstractNumId w:val="34"/>
  </w:num>
  <w:num w:numId="57" w16cid:durableId="280961153">
    <w:abstractNumId w:val="90"/>
  </w:num>
  <w:num w:numId="58" w16cid:durableId="1247496038">
    <w:abstractNumId w:val="103"/>
  </w:num>
  <w:num w:numId="59" w16cid:durableId="716010472">
    <w:abstractNumId w:val="65"/>
  </w:num>
  <w:num w:numId="60" w16cid:durableId="1426682641">
    <w:abstractNumId w:val="39"/>
  </w:num>
  <w:num w:numId="61" w16cid:durableId="693925884">
    <w:abstractNumId w:val="72"/>
  </w:num>
  <w:num w:numId="62" w16cid:durableId="183401813">
    <w:abstractNumId w:val="59"/>
  </w:num>
  <w:num w:numId="63" w16cid:durableId="787239769">
    <w:abstractNumId w:val="50"/>
  </w:num>
  <w:num w:numId="64" w16cid:durableId="547494031">
    <w:abstractNumId w:val="60"/>
  </w:num>
  <w:num w:numId="65" w16cid:durableId="1905024611">
    <w:abstractNumId w:val="54"/>
  </w:num>
  <w:num w:numId="66" w16cid:durableId="139151560">
    <w:abstractNumId w:val="91"/>
  </w:num>
  <w:num w:numId="67" w16cid:durableId="1630164470">
    <w:abstractNumId w:val="102"/>
  </w:num>
  <w:num w:numId="68" w16cid:durableId="231891645">
    <w:abstractNumId w:val="58"/>
  </w:num>
  <w:num w:numId="69" w16cid:durableId="1934896217">
    <w:abstractNumId w:val="20"/>
  </w:num>
  <w:num w:numId="70" w16cid:durableId="1135367039">
    <w:abstractNumId w:val="12"/>
  </w:num>
  <w:num w:numId="71" w16cid:durableId="1853687306">
    <w:abstractNumId w:val="67"/>
  </w:num>
  <w:num w:numId="72" w16cid:durableId="902719927">
    <w:abstractNumId w:val="74"/>
  </w:num>
  <w:num w:numId="73" w16cid:durableId="1541363010">
    <w:abstractNumId w:val="27"/>
  </w:num>
  <w:num w:numId="74" w16cid:durableId="1696731916">
    <w:abstractNumId w:val="98"/>
  </w:num>
  <w:num w:numId="75" w16cid:durableId="1595016574">
    <w:abstractNumId w:val="92"/>
  </w:num>
  <w:num w:numId="76" w16cid:durableId="618074623">
    <w:abstractNumId w:val="26"/>
  </w:num>
  <w:num w:numId="77" w16cid:durableId="1180117285">
    <w:abstractNumId w:val="29"/>
  </w:num>
  <w:num w:numId="78" w16cid:durableId="333068925">
    <w:abstractNumId w:val="13"/>
  </w:num>
  <w:num w:numId="79" w16cid:durableId="1651134480">
    <w:abstractNumId w:val="52"/>
  </w:num>
  <w:num w:numId="80" w16cid:durableId="1129516495">
    <w:abstractNumId w:val="85"/>
  </w:num>
  <w:num w:numId="81" w16cid:durableId="250817920">
    <w:abstractNumId w:val="46"/>
  </w:num>
  <w:num w:numId="82" w16cid:durableId="281808969">
    <w:abstractNumId w:val="82"/>
  </w:num>
  <w:num w:numId="83" w16cid:durableId="1817838782">
    <w:abstractNumId w:val="35"/>
  </w:num>
  <w:num w:numId="84" w16cid:durableId="1815676359">
    <w:abstractNumId w:val="62"/>
  </w:num>
  <w:num w:numId="85" w16cid:durableId="1892959273">
    <w:abstractNumId w:val="17"/>
  </w:num>
  <w:num w:numId="86" w16cid:durableId="771053215">
    <w:abstractNumId w:val="71"/>
  </w:num>
  <w:num w:numId="87" w16cid:durableId="588076045">
    <w:abstractNumId w:val="43"/>
  </w:num>
  <w:num w:numId="88" w16cid:durableId="1531644507">
    <w:abstractNumId w:val="14"/>
  </w:num>
  <w:num w:numId="89" w16cid:durableId="644629093">
    <w:abstractNumId w:val="89"/>
  </w:num>
  <w:num w:numId="90" w16cid:durableId="512306354">
    <w:abstractNumId w:val="96"/>
  </w:num>
  <w:num w:numId="91" w16cid:durableId="348725810">
    <w:abstractNumId w:val="15"/>
  </w:num>
  <w:num w:numId="92" w16cid:durableId="1999382141">
    <w:abstractNumId w:val="64"/>
  </w:num>
  <w:num w:numId="93" w16cid:durableId="1758868227">
    <w:abstractNumId w:val="56"/>
  </w:num>
  <w:num w:numId="94" w16cid:durableId="1001277572">
    <w:abstractNumId w:val="57"/>
  </w:num>
  <w:num w:numId="95" w16cid:durableId="2137142578">
    <w:abstractNumId w:val="95"/>
  </w:num>
  <w:num w:numId="96" w16cid:durableId="1767386288">
    <w:abstractNumId w:val="24"/>
  </w:num>
  <w:num w:numId="97" w16cid:durableId="1493449961">
    <w:abstractNumId w:val="105"/>
  </w:num>
  <w:num w:numId="98" w16cid:durableId="1068456549">
    <w:abstractNumId w:val="33"/>
  </w:num>
  <w:num w:numId="99" w16cid:durableId="739980240">
    <w:abstractNumId w:val="79"/>
  </w:num>
  <w:num w:numId="100" w16cid:durableId="443616265">
    <w:abstractNumId w:val="83"/>
  </w:num>
  <w:num w:numId="101" w16cid:durableId="233668267">
    <w:abstractNumId w:val="61"/>
  </w:num>
  <w:num w:numId="102" w16cid:durableId="53748648">
    <w:abstractNumId w:val="73"/>
  </w:num>
  <w:num w:numId="103" w16cid:durableId="1495995851">
    <w:abstractNumId w:val="55"/>
  </w:num>
  <w:num w:numId="104" w16cid:durableId="1042172771">
    <w:abstractNumId w:val="69"/>
  </w:num>
  <w:num w:numId="105" w16cid:durableId="1567181452">
    <w:abstractNumId w:val="37"/>
  </w:num>
  <w:num w:numId="106" w16cid:durableId="2080787999">
    <w:abstractNumId w:val="4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145"/>
    <w:rsid w:val="00000EC4"/>
    <w:rsid w:val="00002765"/>
    <w:rsid w:val="0000339E"/>
    <w:rsid w:val="0000785F"/>
    <w:rsid w:val="0001018D"/>
    <w:rsid w:val="00011C0E"/>
    <w:rsid w:val="00022595"/>
    <w:rsid w:val="00024353"/>
    <w:rsid w:val="000257D3"/>
    <w:rsid w:val="00026812"/>
    <w:rsid w:val="00026A82"/>
    <w:rsid w:val="00026F69"/>
    <w:rsid w:val="00032019"/>
    <w:rsid w:val="0003257F"/>
    <w:rsid w:val="00032829"/>
    <w:rsid w:val="000336A3"/>
    <w:rsid w:val="00037FBC"/>
    <w:rsid w:val="00040561"/>
    <w:rsid w:val="000420F0"/>
    <w:rsid w:val="0004273E"/>
    <w:rsid w:val="000431E9"/>
    <w:rsid w:val="00044082"/>
    <w:rsid w:val="00045458"/>
    <w:rsid w:val="00047894"/>
    <w:rsid w:val="00050EE9"/>
    <w:rsid w:val="00051066"/>
    <w:rsid w:val="0005472A"/>
    <w:rsid w:val="00055D1B"/>
    <w:rsid w:val="00055E93"/>
    <w:rsid w:val="000579A6"/>
    <w:rsid w:val="00061D03"/>
    <w:rsid w:val="000655B0"/>
    <w:rsid w:val="00066757"/>
    <w:rsid w:val="00067A3E"/>
    <w:rsid w:val="00070937"/>
    <w:rsid w:val="00073763"/>
    <w:rsid w:val="00073F6C"/>
    <w:rsid w:val="00077042"/>
    <w:rsid w:val="000876E4"/>
    <w:rsid w:val="000928DD"/>
    <w:rsid w:val="0009420C"/>
    <w:rsid w:val="00094CB9"/>
    <w:rsid w:val="000965EC"/>
    <w:rsid w:val="000969E8"/>
    <w:rsid w:val="00097B65"/>
    <w:rsid w:val="000A2AC6"/>
    <w:rsid w:val="000A428A"/>
    <w:rsid w:val="000A5738"/>
    <w:rsid w:val="000A592C"/>
    <w:rsid w:val="000A5B46"/>
    <w:rsid w:val="000A7E71"/>
    <w:rsid w:val="000B1CA7"/>
    <w:rsid w:val="000B354B"/>
    <w:rsid w:val="000B3C14"/>
    <w:rsid w:val="000B4382"/>
    <w:rsid w:val="000B5829"/>
    <w:rsid w:val="000B5D67"/>
    <w:rsid w:val="000B7559"/>
    <w:rsid w:val="000B7783"/>
    <w:rsid w:val="000C065E"/>
    <w:rsid w:val="000C1219"/>
    <w:rsid w:val="000C1B83"/>
    <w:rsid w:val="000C3FFE"/>
    <w:rsid w:val="000C6496"/>
    <w:rsid w:val="000D210D"/>
    <w:rsid w:val="000D2DBA"/>
    <w:rsid w:val="000D50A4"/>
    <w:rsid w:val="000E0D15"/>
    <w:rsid w:val="000E2AF4"/>
    <w:rsid w:val="000E36CB"/>
    <w:rsid w:val="000E3AC4"/>
    <w:rsid w:val="000E3EDC"/>
    <w:rsid w:val="000E4443"/>
    <w:rsid w:val="000E5016"/>
    <w:rsid w:val="000E5495"/>
    <w:rsid w:val="000E6599"/>
    <w:rsid w:val="000F16A9"/>
    <w:rsid w:val="000F2D3F"/>
    <w:rsid w:val="000F687D"/>
    <w:rsid w:val="000F6D9A"/>
    <w:rsid w:val="0010005C"/>
    <w:rsid w:val="001021DF"/>
    <w:rsid w:val="00102229"/>
    <w:rsid w:val="00102941"/>
    <w:rsid w:val="001035E3"/>
    <w:rsid w:val="0010413A"/>
    <w:rsid w:val="00105F31"/>
    <w:rsid w:val="001061DC"/>
    <w:rsid w:val="00114AD9"/>
    <w:rsid w:val="0011513A"/>
    <w:rsid w:val="00122B34"/>
    <w:rsid w:val="001235CA"/>
    <w:rsid w:val="00130DEA"/>
    <w:rsid w:val="00131F56"/>
    <w:rsid w:val="00133573"/>
    <w:rsid w:val="00135051"/>
    <w:rsid w:val="001362EC"/>
    <w:rsid w:val="001376A7"/>
    <w:rsid w:val="001432E1"/>
    <w:rsid w:val="00143424"/>
    <w:rsid w:val="00143C7E"/>
    <w:rsid w:val="0014633A"/>
    <w:rsid w:val="00147EA0"/>
    <w:rsid w:val="00150DEA"/>
    <w:rsid w:val="0015152F"/>
    <w:rsid w:val="00152DE0"/>
    <w:rsid w:val="00154F21"/>
    <w:rsid w:val="00156905"/>
    <w:rsid w:val="00157C28"/>
    <w:rsid w:val="001658FE"/>
    <w:rsid w:val="00167941"/>
    <w:rsid w:val="00170A96"/>
    <w:rsid w:val="001737C0"/>
    <w:rsid w:val="001761B5"/>
    <w:rsid w:val="001765CD"/>
    <w:rsid w:val="00176782"/>
    <w:rsid w:val="0018165D"/>
    <w:rsid w:val="00181FD1"/>
    <w:rsid w:val="0018305B"/>
    <w:rsid w:val="001848A1"/>
    <w:rsid w:val="00190EA2"/>
    <w:rsid w:val="00192956"/>
    <w:rsid w:val="001954B8"/>
    <w:rsid w:val="001972CD"/>
    <w:rsid w:val="00197352"/>
    <w:rsid w:val="001A157A"/>
    <w:rsid w:val="001A30DA"/>
    <w:rsid w:val="001A64E5"/>
    <w:rsid w:val="001A6F60"/>
    <w:rsid w:val="001A756D"/>
    <w:rsid w:val="001B2780"/>
    <w:rsid w:val="001B3A37"/>
    <w:rsid w:val="001B3FA0"/>
    <w:rsid w:val="001B5798"/>
    <w:rsid w:val="001B5A0E"/>
    <w:rsid w:val="001B7147"/>
    <w:rsid w:val="001B7C2D"/>
    <w:rsid w:val="001C0711"/>
    <w:rsid w:val="001C37C0"/>
    <w:rsid w:val="001C479E"/>
    <w:rsid w:val="001C52BD"/>
    <w:rsid w:val="001C5893"/>
    <w:rsid w:val="001D0950"/>
    <w:rsid w:val="001D1786"/>
    <w:rsid w:val="001D3596"/>
    <w:rsid w:val="001D4A7D"/>
    <w:rsid w:val="001D4E12"/>
    <w:rsid w:val="001D562C"/>
    <w:rsid w:val="001D6265"/>
    <w:rsid w:val="001E348C"/>
    <w:rsid w:val="001E4056"/>
    <w:rsid w:val="001E4196"/>
    <w:rsid w:val="001E4E9F"/>
    <w:rsid w:val="001E5B69"/>
    <w:rsid w:val="001E775D"/>
    <w:rsid w:val="001F1151"/>
    <w:rsid w:val="001F13AC"/>
    <w:rsid w:val="001F1C82"/>
    <w:rsid w:val="001F5684"/>
    <w:rsid w:val="001F6149"/>
    <w:rsid w:val="001F7D4F"/>
    <w:rsid w:val="0020111E"/>
    <w:rsid w:val="002016AD"/>
    <w:rsid w:val="00202668"/>
    <w:rsid w:val="00202D27"/>
    <w:rsid w:val="002042E6"/>
    <w:rsid w:val="002043BF"/>
    <w:rsid w:val="002046D5"/>
    <w:rsid w:val="00204A2C"/>
    <w:rsid w:val="00205D47"/>
    <w:rsid w:val="0020607D"/>
    <w:rsid w:val="0020630F"/>
    <w:rsid w:val="00206F44"/>
    <w:rsid w:val="00207E88"/>
    <w:rsid w:val="002104B4"/>
    <w:rsid w:val="00211994"/>
    <w:rsid w:val="00212AC5"/>
    <w:rsid w:val="00214642"/>
    <w:rsid w:val="002156EB"/>
    <w:rsid w:val="00221F28"/>
    <w:rsid w:val="00222613"/>
    <w:rsid w:val="00222756"/>
    <w:rsid w:val="002239BD"/>
    <w:rsid w:val="00227176"/>
    <w:rsid w:val="0023246B"/>
    <w:rsid w:val="002339E8"/>
    <w:rsid w:val="0023586F"/>
    <w:rsid w:val="00236552"/>
    <w:rsid w:val="00236B81"/>
    <w:rsid w:val="00236FEF"/>
    <w:rsid w:val="002404DE"/>
    <w:rsid w:val="002406D3"/>
    <w:rsid w:val="002422F1"/>
    <w:rsid w:val="00242965"/>
    <w:rsid w:val="00242C23"/>
    <w:rsid w:val="00242F33"/>
    <w:rsid w:val="002447D2"/>
    <w:rsid w:val="002462C2"/>
    <w:rsid w:val="00247903"/>
    <w:rsid w:val="002517A8"/>
    <w:rsid w:val="002525B8"/>
    <w:rsid w:val="0025304A"/>
    <w:rsid w:val="00261D29"/>
    <w:rsid w:val="00262EFC"/>
    <w:rsid w:val="0026454E"/>
    <w:rsid w:val="002645AC"/>
    <w:rsid w:val="00264D74"/>
    <w:rsid w:val="00265A0A"/>
    <w:rsid w:val="0026647E"/>
    <w:rsid w:val="00267B43"/>
    <w:rsid w:val="002709EF"/>
    <w:rsid w:val="00273690"/>
    <w:rsid w:val="002745F8"/>
    <w:rsid w:val="002775F3"/>
    <w:rsid w:val="00281BB1"/>
    <w:rsid w:val="00282284"/>
    <w:rsid w:val="002860A3"/>
    <w:rsid w:val="00290B1F"/>
    <w:rsid w:val="002919E1"/>
    <w:rsid w:val="00295126"/>
    <w:rsid w:val="0029764E"/>
    <w:rsid w:val="002A0E64"/>
    <w:rsid w:val="002A4C1F"/>
    <w:rsid w:val="002A4C9F"/>
    <w:rsid w:val="002A59AF"/>
    <w:rsid w:val="002A7CF2"/>
    <w:rsid w:val="002B251F"/>
    <w:rsid w:val="002B5BB0"/>
    <w:rsid w:val="002B5C4C"/>
    <w:rsid w:val="002C119F"/>
    <w:rsid w:val="002C1FB6"/>
    <w:rsid w:val="002C2CE4"/>
    <w:rsid w:val="002C5000"/>
    <w:rsid w:val="002C6E59"/>
    <w:rsid w:val="002C7E58"/>
    <w:rsid w:val="002D0097"/>
    <w:rsid w:val="002D218F"/>
    <w:rsid w:val="002D2391"/>
    <w:rsid w:val="002D323A"/>
    <w:rsid w:val="002D3B6D"/>
    <w:rsid w:val="002D490A"/>
    <w:rsid w:val="002D4A0E"/>
    <w:rsid w:val="002D5475"/>
    <w:rsid w:val="002E4C30"/>
    <w:rsid w:val="002E68AB"/>
    <w:rsid w:val="002E6ED7"/>
    <w:rsid w:val="002F3D4F"/>
    <w:rsid w:val="002F7771"/>
    <w:rsid w:val="00300638"/>
    <w:rsid w:val="00300969"/>
    <w:rsid w:val="0030096D"/>
    <w:rsid w:val="00300DAB"/>
    <w:rsid w:val="00303BAC"/>
    <w:rsid w:val="0030454D"/>
    <w:rsid w:val="00305D2B"/>
    <w:rsid w:val="00307114"/>
    <w:rsid w:val="00313526"/>
    <w:rsid w:val="00314F8D"/>
    <w:rsid w:val="00317618"/>
    <w:rsid w:val="00317AB9"/>
    <w:rsid w:val="003207BF"/>
    <w:rsid w:val="00325576"/>
    <w:rsid w:val="00332005"/>
    <w:rsid w:val="003326AC"/>
    <w:rsid w:val="00332F87"/>
    <w:rsid w:val="00334845"/>
    <w:rsid w:val="00334CF7"/>
    <w:rsid w:val="00335550"/>
    <w:rsid w:val="003357CE"/>
    <w:rsid w:val="00336ACE"/>
    <w:rsid w:val="00337AE9"/>
    <w:rsid w:val="0034126A"/>
    <w:rsid w:val="00342254"/>
    <w:rsid w:val="003476C6"/>
    <w:rsid w:val="0035307D"/>
    <w:rsid w:val="003542E7"/>
    <w:rsid w:val="00354621"/>
    <w:rsid w:val="00354E2B"/>
    <w:rsid w:val="003559F5"/>
    <w:rsid w:val="003608A4"/>
    <w:rsid w:val="00361DC5"/>
    <w:rsid w:val="00363DF6"/>
    <w:rsid w:val="00365770"/>
    <w:rsid w:val="00365ED9"/>
    <w:rsid w:val="0036786F"/>
    <w:rsid w:val="00370316"/>
    <w:rsid w:val="00371DAA"/>
    <w:rsid w:val="003771BE"/>
    <w:rsid w:val="003805B2"/>
    <w:rsid w:val="00380669"/>
    <w:rsid w:val="003809C8"/>
    <w:rsid w:val="003824B8"/>
    <w:rsid w:val="003857F8"/>
    <w:rsid w:val="0038641D"/>
    <w:rsid w:val="0038736E"/>
    <w:rsid w:val="00392390"/>
    <w:rsid w:val="00394726"/>
    <w:rsid w:val="0039652C"/>
    <w:rsid w:val="0039782C"/>
    <w:rsid w:val="003A0DA0"/>
    <w:rsid w:val="003A209B"/>
    <w:rsid w:val="003A22B5"/>
    <w:rsid w:val="003A53CB"/>
    <w:rsid w:val="003A6706"/>
    <w:rsid w:val="003A69EB"/>
    <w:rsid w:val="003B1809"/>
    <w:rsid w:val="003B1894"/>
    <w:rsid w:val="003B2F8C"/>
    <w:rsid w:val="003B30F3"/>
    <w:rsid w:val="003B535F"/>
    <w:rsid w:val="003B6AFA"/>
    <w:rsid w:val="003B720B"/>
    <w:rsid w:val="003C0EC5"/>
    <w:rsid w:val="003C1032"/>
    <w:rsid w:val="003C1654"/>
    <w:rsid w:val="003C46B4"/>
    <w:rsid w:val="003C47B2"/>
    <w:rsid w:val="003C6C78"/>
    <w:rsid w:val="003C79CB"/>
    <w:rsid w:val="003D02F6"/>
    <w:rsid w:val="003D0534"/>
    <w:rsid w:val="003D449F"/>
    <w:rsid w:val="003E7696"/>
    <w:rsid w:val="003F0899"/>
    <w:rsid w:val="003F10A3"/>
    <w:rsid w:val="003F11BB"/>
    <w:rsid w:val="003F2523"/>
    <w:rsid w:val="003F44ED"/>
    <w:rsid w:val="003F5384"/>
    <w:rsid w:val="003F5A19"/>
    <w:rsid w:val="003F5AD9"/>
    <w:rsid w:val="00400236"/>
    <w:rsid w:val="004017DC"/>
    <w:rsid w:val="004052F8"/>
    <w:rsid w:val="004073BC"/>
    <w:rsid w:val="00412216"/>
    <w:rsid w:val="004133B7"/>
    <w:rsid w:val="00416B9F"/>
    <w:rsid w:val="00417EF1"/>
    <w:rsid w:val="00420103"/>
    <w:rsid w:val="004206CE"/>
    <w:rsid w:val="00427890"/>
    <w:rsid w:val="00430772"/>
    <w:rsid w:val="0043094A"/>
    <w:rsid w:val="00430BAF"/>
    <w:rsid w:val="00431DB9"/>
    <w:rsid w:val="00431E79"/>
    <w:rsid w:val="0043515D"/>
    <w:rsid w:val="004410EE"/>
    <w:rsid w:val="00441ED4"/>
    <w:rsid w:val="00444AA1"/>
    <w:rsid w:val="00446719"/>
    <w:rsid w:val="004519BF"/>
    <w:rsid w:val="004610D2"/>
    <w:rsid w:val="00464A3E"/>
    <w:rsid w:val="00466262"/>
    <w:rsid w:val="00466CBB"/>
    <w:rsid w:val="004674CD"/>
    <w:rsid w:val="00473AFE"/>
    <w:rsid w:val="004747A9"/>
    <w:rsid w:val="00475EB8"/>
    <w:rsid w:val="00477158"/>
    <w:rsid w:val="00480382"/>
    <w:rsid w:val="00481DDB"/>
    <w:rsid w:val="00482FFA"/>
    <w:rsid w:val="0048388A"/>
    <w:rsid w:val="00485290"/>
    <w:rsid w:val="00485DC1"/>
    <w:rsid w:val="0049095B"/>
    <w:rsid w:val="00491928"/>
    <w:rsid w:val="004956F4"/>
    <w:rsid w:val="004978A5"/>
    <w:rsid w:val="004A191B"/>
    <w:rsid w:val="004A1D25"/>
    <w:rsid w:val="004A256E"/>
    <w:rsid w:val="004A3183"/>
    <w:rsid w:val="004A5426"/>
    <w:rsid w:val="004A5850"/>
    <w:rsid w:val="004A7245"/>
    <w:rsid w:val="004B04FF"/>
    <w:rsid w:val="004B1720"/>
    <w:rsid w:val="004B2A03"/>
    <w:rsid w:val="004B3914"/>
    <w:rsid w:val="004B41C4"/>
    <w:rsid w:val="004B7074"/>
    <w:rsid w:val="004B7782"/>
    <w:rsid w:val="004B79BB"/>
    <w:rsid w:val="004C022B"/>
    <w:rsid w:val="004C2C5A"/>
    <w:rsid w:val="004C3622"/>
    <w:rsid w:val="004C3893"/>
    <w:rsid w:val="004C69E8"/>
    <w:rsid w:val="004D0C93"/>
    <w:rsid w:val="004D1CC9"/>
    <w:rsid w:val="004D72EA"/>
    <w:rsid w:val="004D7915"/>
    <w:rsid w:val="004E1575"/>
    <w:rsid w:val="004E4541"/>
    <w:rsid w:val="004E4686"/>
    <w:rsid w:val="004E59A0"/>
    <w:rsid w:val="004E5A71"/>
    <w:rsid w:val="004E5E64"/>
    <w:rsid w:val="004E5F27"/>
    <w:rsid w:val="004E6298"/>
    <w:rsid w:val="004F1685"/>
    <w:rsid w:val="004F2169"/>
    <w:rsid w:val="004F2FB9"/>
    <w:rsid w:val="004F3897"/>
    <w:rsid w:val="004F3AFD"/>
    <w:rsid w:val="004F54CF"/>
    <w:rsid w:val="004F76FE"/>
    <w:rsid w:val="004F7E34"/>
    <w:rsid w:val="00500DEA"/>
    <w:rsid w:val="00501EAA"/>
    <w:rsid w:val="00502624"/>
    <w:rsid w:val="00502B56"/>
    <w:rsid w:val="005122DC"/>
    <w:rsid w:val="00512E9C"/>
    <w:rsid w:val="00513341"/>
    <w:rsid w:val="005141D2"/>
    <w:rsid w:val="00515A9B"/>
    <w:rsid w:val="005168BC"/>
    <w:rsid w:val="00517652"/>
    <w:rsid w:val="0052248A"/>
    <w:rsid w:val="005224E9"/>
    <w:rsid w:val="00523221"/>
    <w:rsid w:val="00523813"/>
    <w:rsid w:val="005247AD"/>
    <w:rsid w:val="0052498B"/>
    <w:rsid w:val="00525E20"/>
    <w:rsid w:val="00526262"/>
    <w:rsid w:val="00527525"/>
    <w:rsid w:val="00527A00"/>
    <w:rsid w:val="00527EFD"/>
    <w:rsid w:val="0053081A"/>
    <w:rsid w:val="00530882"/>
    <w:rsid w:val="00532C0D"/>
    <w:rsid w:val="0053687E"/>
    <w:rsid w:val="0054058E"/>
    <w:rsid w:val="005417D8"/>
    <w:rsid w:val="005420CC"/>
    <w:rsid w:val="00542230"/>
    <w:rsid w:val="0054249F"/>
    <w:rsid w:val="00547F70"/>
    <w:rsid w:val="005512C6"/>
    <w:rsid w:val="00551989"/>
    <w:rsid w:val="00555936"/>
    <w:rsid w:val="00555EDF"/>
    <w:rsid w:val="005609FF"/>
    <w:rsid w:val="00564BCA"/>
    <w:rsid w:val="00565D6B"/>
    <w:rsid w:val="00566DE9"/>
    <w:rsid w:val="00567AC7"/>
    <w:rsid w:val="00572FC7"/>
    <w:rsid w:val="00575439"/>
    <w:rsid w:val="005765EF"/>
    <w:rsid w:val="0057694C"/>
    <w:rsid w:val="00576D38"/>
    <w:rsid w:val="00584DA7"/>
    <w:rsid w:val="00585627"/>
    <w:rsid w:val="00587EA6"/>
    <w:rsid w:val="005906B2"/>
    <w:rsid w:val="0059664E"/>
    <w:rsid w:val="00596930"/>
    <w:rsid w:val="005A355E"/>
    <w:rsid w:val="005A66EA"/>
    <w:rsid w:val="005A69B7"/>
    <w:rsid w:val="005B0914"/>
    <w:rsid w:val="005B1F1F"/>
    <w:rsid w:val="005B3007"/>
    <w:rsid w:val="005B3D4A"/>
    <w:rsid w:val="005B44DD"/>
    <w:rsid w:val="005B5D72"/>
    <w:rsid w:val="005C065A"/>
    <w:rsid w:val="005C1FE1"/>
    <w:rsid w:val="005C39EA"/>
    <w:rsid w:val="005C4BB9"/>
    <w:rsid w:val="005D1213"/>
    <w:rsid w:val="005D1BC8"/>
    <w:rsid w:val="005D7490"/>
    <w:rsid w:val="005D7742"/>
    <w:rsid w:val="005E01F4"/>
    <w:rsid w:val="005E0EF0"/>
    <w:rsid w:val="005E4430"/>
    <w:rsid w:val="005E70AD"/>
    <w:rsid w:val="005F0242"/>
    <w:rsid w:val="005F0C03"/>
    <w:rsid w:val="005F1422"/>
    <w:rsid w:val="005F1A90"/>
    <w:rsid w:val="005F1FF8"/>
    <w:rsid w:val="005F4DC8"/>
    <w:rsid w:val="005F6744"/>
    <w:rsid w:val="005F7205"/>
    <w:rsid w:val="0060031A"/>
    <w:rsid w:val="00604445"/>
    <w:rsid w:val="00604AD2"/>
    <w:rsid w:val="006104DF"/>
    <w:rsid w:val="00610969"/>
    <w:rsid w:val="00614A05"/>
    <w:rsid w:val="00615CFF"/>
    <w:rsid w:val="00616A5C"/>
    <w:rsid w:val="0062209E"/>
    <w:rsid w:val="0062219A"/>
    <w:rsid w:val="0062238F"/>
    <w:rsid w:val="006243FF"/>
    <w:rsid w:val="00625E59"/>
    <w:rsid w:val="0062796D"/>
    <w:rsid w:val="00627B76"/>
    <w:rsid w:val="006306D9"/>
    <w:rsid w:val="006316CA"/>
    <w:rsid w:val="00632310"/>
    <w:rsid w:val="00633794"/>
    <w:rsid w:val="006371B3"/>
    <w:rsid w:val="0064223F"/>
    <w:rsid w:val="00643710"/>
    <w:rsid w:val="00644DE9"/>
    <w:rsid w:val="00645CD5"/>
    <w:rsid w:val="006471EC"/>
    <w:rsid w:val="00651B01"/>
    <w:rsid w:val="0065264B"/>
    <w:rsid w:val="00653F80"/>
    <w:rsid w:val="006551C5"/>
    <w:rsid w:val="00655E26"/>
    <w:rsid w:val="006564A2"/>
    <w:rsid w:val="00656CA8"/>
    <w:rsid w:val="006574A5"/>
    <w:rsid w:val="006577F8"/>
    <w:rsid w:val="00660C79"/>
    <w:rsid w:val="00662244"/>
    <w:rsid w:val="006637C7"/>
    <w:rsid w:val="00664922"/>
    <w:rsid w:val="00666896"/>
    <w:rsid w:val="00667696"/>
    <w:rsid w:val="00667EA2"/>
    <w:rsid w:val="006720F3"/>
    <w:rsid w:val="0067270A"/>
    <w:rsid w:val="00672CF9"/>
    <w:rsid w:val="0067308F"/>
    <w:rsid w:val="0067377D"/>
    <w:rsid w:val="00674E6A"/>
    <w:rsid w:val="006751BC"/>
    <w:rsid w:val="00676687"/>
    <w:rsid w:val="00677CCA"/>
    <w:rsid w:val="00677CDB"/>
    <w:rsid w:val="00680726"/>
    <w:rsid w:val="00680826"/>
    <w:rsid w:val="00684257"/>
    <w:rsid w:val="00684999"/>
    <w:rsid w:val="00684F5A"/>
    <w:rsid w:val="0068545F"/>
    <w:rsid w:val="00686DEF"/>
    <w:rsid w:val="00691C32"/>
    <w:rsid w:val="006931F0"/>
    <w:rsid w:val="00694267"/>
    <w:rsid w:val="00695799"/>
    <w:rsid w:val="006A0AB7"/>
    <w:rsid w:val="006A293D"/>
    <w:rsid w:val="006A3D32"/>
    <w:rsid w:val="006A46B2"/>
    <w:rsid w:val="006A5B6A"/>
    <w:rsid w:val="006A6137"/>
    <w:rsid w:val="006A6582"/>
    <w:rsid w:val="006B04E3"/>
    <w:rsid w:val="006B1C16"/>
    <w:rsid w:val="006B2206"/>
    <w:rsid w:val="006B36AA"/>
    <w:rsid w:val="006B3D9F"/>
    <w:rsid w:val="006B598F"/>
    <w:rsid w:val="006C09B7"/>
    <w:rsid w:val="006C1B15"/>
    <w:rsid w:val="006C724B"/>
    <w:rsid w:val="006D16CE"/>
    <w:rsid w:val="006D2B53"/>
    <w:rsid w:val="006D3ECA"/>
    <w:rsid w:val="006D5683"/>
    <w:rsid w:val="006E2768"/>
    <w:rsid w:val="006E2A78"/>
    <w:rsid w:val="006E4653"/>
    <w:rsid w:val="006E6781"/>
    <w:rsid w:val="006F0DEA"/>
    <w:rsid w:val="006F1C8B"/>
    <w:rsid w:val="006F23CA"/>
    <w:rsid w:val="006F415E"/>
    <w:rsid w:val="006F471A"/>
    <w:rsid w:val="006F485B"/>
    <w:rsid w:val="006F6024"/>
    <w:rsid w:val="006F7B94"/>
    <w:rsid w:val="007015A2"/>
    <w:rsid w:val="007019E2"/>
    <w:rsid w:val="0070267C"/>
    <w:rsid w:val="007026BC"/>
    <w:rsid w:val="00702DB2"/>
    <w:rsid w:val="00703584"/>
    <w:rsid w:val="00703878"/>
    <w:rsid w:val="007038AD"/>
    <w:rsid w:val="00703D14"/>
    <w:rsid w:val="0070497A"/>
    <w:rsid w:val="00705113"/>
    <w:rsid w:val="007100B3"/>
    <w:rsid w:val="007145D4"/>
    <w:rsid w:val="007147C2"/>
    <w:rsid w:val="00715B11"/>
    <w:rsid w:val="00717C45"/>
    <w:rsid w:val="0072281C"/>
    <w:rsid w:val="00722DCF"/>
    <w:rsid w:val="00723E1D"/>
    <w:rsid w:val="0072469D"/>
    <w:rsid w:val="00725053"/>
    <w:rsid w:val="0072582D"/>
    <w:rsid w:val="00726047"/>
    <w:rsid w:val="0072791D"/>
    <w:rsid w:val="00730DB6"/>
    <w:rsid w:val="00732369"/>
    <w:rsid w:val="00732722"/>
    <w:rsid w:val="00732D98"/>
    <w:rsid w:val="00734E7F"/>
    <w:rsid w:val="00736284"/>
    <w:rsid w:val="00737B8C"/>
    <w:rsid w:val="007401D3"/>
    <w:rsid w:val="007404EA"/>
    <w:rsid w:val="00740B2B"/>
    <w:rsid w:val="00740B71"/>
    <w:rsid w:val="00741019"/>
    <w:rsid w:val="00741315"/>
    <w:rsid w:val="00742803"/>
    <w:rsid w:val="00742FE9"/>
    <w:rsid w:val="007450B1"/>
    <w:rsid w:val="00745573"/>
    <w:rsid w:val="00747AC7"/>
    <w:rsid w:val="00747EB7"/>
    <w:rsid w:val="00751749"/>
    <w:rsid w:val="00751CFB"/>
    <w:rsid w:val="007524D8"/>
    <w:rsid w:val="00752CD1"/>
    <w:rsid w:val="00756F66"/>
    <w:rsid w:val="0076012A"/>
    <w:rsid w:val="00763D13"/>
    <w:rsid w:val="00764151"/>
    <w:rsid w:val="0076416A"/>
    <w:rsid w:val="00766DAB"/>
    <w:rsid w:val="00770E8C"/>
    <w:rsid w:val="00770EF6"/>
    <w:rsid w:val="00771D36"/>
    <w:rsid w:val="00776453"/>
    <w:rsid w:val="007772D0"/>
    <w:rsid w:val="007777DA"/>
    <w:rsid w:val="00777C6D"/>
    <w:rsid w:val="00777DE8"/>
    <w:rsid w:val="00780887"/>
    <w:rsid w:val="00784C4A"/>
    <w:rsid w:val="00786865"/>
    <w:rsid w:val="007923CC"/>
    <w:rsid w:val="00793358"/>
    <w:rsid w:val="007937AB"/>
    <w:rsid w:val="007968E4"/>
    <w:rsid w:val="007A0129"/>
    <w:rsid w:val="007A1D33"/>
    <w:rsid w:val="007A37F9"/>
    <w:rsid w:val="007A4229"/>
    <w:rsid w:val="007A43D3"/>
    <w:rsid w:val="007A43F7"/>
    <w:rsid w:val="007A4D4A"/>
    <w:rsid w:val="007A6926"/>
    <w:rsid w:val="007A6971"/>
    <w:rsid w:val="007B0DAB"/>
    <w:rsid w:val="007B3F66"/>
    <w:rsid w:val="007B5384"/>
    <w:rsid w:val="007C26AD"/>
    <w:rsid w:val="007C29C5"/>
    <w:rsid w:val="007C2DF1"/>
    <w:rsid w:val="007C3E04"/>
    <w:rsid w:val="007C3F12"/>
    <w:rsid w:val="007C47BF"/>
    <w:rsid w:val="007C50C1"/>
    <w:rsid w:val="007C5507"/>
    <w:rsid w:val="007C6DFC"/>
    <w:rsid w:val="007C7B73"/>
    <w:rsid w:val="007D014D"/>
    <w:rsid w:val="007D0294"/>
    <w:rsid w:val="007D16FD"/>
    <w:rsid w:val="007D1A98"/>
    <w:rsid w:val="007D1CF2"/>
    <w:rsid w:val="007D3D62"/>
    <w:rsid w:val="007D4081"/>
    <w:rsid w:val="007D441B"/>
    <w:rsid w:val="007D5C4E"/>
    <w:rsid w:val="007D6B94"/>
    <w:rsid w:val="007E2379"/>
    <w:rsid w:val="007E25AD"/>
    <w:rsid w:val="007E5860"/>
    <w:rsid w:val="007E5A85"/>
    <w:rsid w:val="007E5D94"/>
    <w:rsid w:val="007F2456"/>
    <w:rsid w:val="007F26B7"/>
    <w:rsid w:val="007F2DA5"/>
    <w:rsid w:val="007F4107"/>
    <w:rsid w:val="00800186"/>
    <w:rsid w:val="008005AC"/>
    <w:rsid w:val="00801105"/>
    <w:rsid w:val="008040BA"/>
    <w:rsid w:val="008133D8"/>
    <w:rsid w:val="00814502"/>
    <w:rsid w:val="00816B67"/>
    <w:rsid w:val="0082071C"/>
    <w:rsid w:val="00820955"/>
    <w:rsid w:val="00821651"/>
    <w:rsid w:val="00821A31"/>
    <w:rsid w:val="008223AA"/>
    <w:rsid w:val="00822624"/>
    <w:rsid w:val="0082635C"/>
    <w:rsid w:val="00826416"/>
    <w:rsid w:val="008303C1"/>
    <w:rsid w:val="0083419A"/>
    <w:rsid w:val="008349A3"/>
    <w:rsid w:val="00834ED1"/>
    <w:rsid w:val="00835311"/>
    <w:rsid w:val="00842B24"/>
    <w:rsid w:val="00844112"/>
    <w:rsid w:val="008456B3"/>
    <w:rsid w:val="00845FB9"/>
    <w:rsid w:val="00846600"/>
    <w:rsid w:val="00851A8D"/>
    <w:rsid w:val="0085218C"/>
    <w:rsid w:val="00853467"/>
    <w:rsid w:val="00854386"/>
    <w:rsid w:val="00854991"/>
    <w:rsid w:val="00855606"/>
    <w:rsid w:val="008563EF"/>
    <w:rsid w:val="008569F3"/>
    <w:rsid w:val="0085791D"/>
    <w:rsid w:val="008606F9"/>
    <w:rsid w:val="00861B46"/>
    <w:rsid w:val="00862890"/>
    <w:rsid w:val="008629F8"/>
    <w:rsid w:val="00871AF3"/>
    <w:rsid w:val="00871FD8"/>
    <w:rsid w:val="00873ED8"/>
    <w:rsid w:val="008763CE"/>
    <w:rsid w:val="00876B14"/>
    <w:rsid w:val="008824FF"/>
    <w:rsid w:val="00884084"/>
    <w:rsid w:val="008845E4"/>
    <w:rsid w:val="00884E70"/>
    <w:rsid w:val="00887F2E"/>
    <w:rsid w:val="00891752"/>
    <w:rsid w:val="00892026"/>
    <w:rsid w:val="00893479"/>
    <w:rsid w:val="008943EC"/>
    <w:rsid w:val="008958FA"/>
    <w:rsid w:val="00895CE2"/>
    <w:rsid w:val="008A1FB0"/>
    <w:rsid w:val="008A388C"/>
    <w:rsid w:val="008A4F81"/>
    <w:rsid w:val="008A5A16"/>
    <w:rsid w:val="008A6867"/>
    <w:rsid w:val="008A7582"/>
    <w:rsid w:val="008A7B66"/>
    <w:rsid w:val="008B0BEE"/>
    <w:rsid w:val="008B1E5C"/>
    <w:rsid w:val="008B2FF1"/>
    <w:rsid w:val="008B6305"/>
    <w:rsid w:val="008B6A6D"/>
    <w:rsid w:val="008C055A"/>
    <w:rsid w:val="008C0C45"/>
    <w:rsid w:val="008C1A73"/>
    <w:rsid w:val="008C4710"/>
    <w:rsid w:val="008D089E"/>
    <w:rsid w:val="008D113C"/>
    <w:rsid w:val="008D3097"/>
    <w:rsid w:val="008D376F"/>
    <w:rsid w:val="008D4367"/>
    <w:rsid w:val="008D46B0"/>
    <w:rsid w:val="008E02B2"/>
    <w:rsid w:val="008E1EFE"/>
    <w:rsid w:val="008E63B2"/>
    <w:rsid w:val="008E7873"/>
    <w:rsid w:val="008E7B83"/>
    <w:rsid w:val="008E7D59"/>
    <w:rsid w:val="008F459F"/>
    <w:rsid w:val="00901B00"/>
    <w:rsid w:val="00901C56"/>
    <w:rsid w:val="00903335"/>
    <w:rsid w:val="0090612B"/>
    <w:rsid w:val="00906CF4"/>
    <w:rsid w:val="009071F8"/>
    <w:rsid w:val="00910103"/>
    <w:rsid w:val="00910360"/>
    <w:rsid w:val="009119E7"/>
    <w:rsid w:val="00911B06"/>
    <w:rsid w:val="009133CB"/>
    <w:rsid w:val="009149A0"/>
    <w:rsid w:val="009155EB"/>
    <w:rsid w:val="00915FA3"/>
    <w:rsid w:val="00917BB1"/>
    <w:rsid w:val="00923529"/>
    <w:rsid w:val="00925509"/>
    <w:rsid w:val="00925FAF"/>
    <w:rsid w:val="00926804"/>
    <w:rsid w:val="00927B81"/>
    <w:rsid w:val="00927D58"/>
    <w:rsid w:val="0093184F"/>
    <w:rsid w:val="00932032"/>
    <w:rsid w:val="0094024E"/>
    <w:rsid w:val="009447C3"/>
    <w:rsid w:val="00946FC8"/>
    <w:rsid w:val="00950F50"/>
    <w:rsid w:val="0095157E"/>
    <w:rsid w:val="00954912"/>
    <w:rsid w:val="009553A5"/>
    <w:rsid w:val="00956676"/>
    <w:rsid w:val="009625ED"/>
    <w:rsid w:val="0096485C"/>
    <w:rsid w:val="009672BB"/>
    <w:rsid w:val="00973522"/>
    <w:rsid w:val="009756D9"/>
    <w:rsid w:val="00975CCE"/>
    <w:rsid w:val="00975D21"/>
    <w:rsid w:val="00976505"/>
    <w:rsid w:val="009767D5"/>
    <w:rsid w:val="00976A44"/>
    <w:rsid w:val="00980531"/>
    <w:rsid w:val="00981D16"/>
    <w:rsid w:val="009820B9"/>
    <w:rsid w:val="00985748"/>
    <w:rsid w:val="00986384"/>
    <w:rsid w:val="009917F0"/>
    <w:rsid w:val="00991F3D"/>
    <w:rsid w:val="00992721"/>
    <w:rsid w:val="0099486A"/>
    <w:rsid w:val="009969E3"/>
    <w:rsid w:val="009A0AA2"/>
    <w:rsid w:val="009A0CA6"/>
    <w:rsid w:val="009A240D"/>
    <w:rsid w:val="009A2BF5"/>
    <w:rsid w:val="009A301E"/>
    <w:rsid w:val="009A3346"/>
    <w:rsid w:val="009A72CC"/>
    <w:rsid w:val="009B2132"/>
    <w:rsid w:val="009B2448"/>
    <w:rsid w:val="009B3592"/>
    <w:rsid w:val="009B35B0"/>
    <w:rsid w:val="009B387A"/>
    <w:rsid w:val="009B5AD6"/>
    <w:rsid w:val="009B5E15"/>
    <w:rsid w:val="009B69FE"/>
    <w:rsid w:val="009B7958"/>
    <w:rsid w:val="009C2069"/>
    <w:rsid w:val="009C2EA2"/>
    <w:rsid w:val="009C36D1"/>
    <w:rsid w:val="009C4FE3"/>
    <w:rsid w:val="009C556A"/>
    <w:rsid w:val="009C5F29"/>
    <w:rsid w:val="009C6778"/>
    <w:rsid w:val="009C70AE"/>
    <w:rsid w:val="009D0113"/>
    <w:rsid w:val="009D0217"/>
    <w:rsid w:val="009D0CF5"/>
    <w:rsid w:val="009D0D4C"/>
    <w:rsid w:val="009D17A9"/>
    <w:rsid w:val="009D1FFB"/>
    <w:rsid w:val="009D6664"/>
    <w:rsid w:val="009E0A25"/>
    <w:rsid w:val="009E1525"/>
    <w:rsid w:val="009E3242"/>
    <w:rsid w:val="009E49F5"/>
    <w:rsid w:val="009E5BC5"/>
    <w:rsid w:val="009E6A64"/>
    <w:rsid w:val="009E7DA7"/>
    <w:rsid w:val="009F1B51"/>
    <w:rsid w:val="009F1DAC"/>
    <w:rsid w:val="009F2C85"/>
    <w:rsid w:val="009F3145"/>
    <w:rsid w:val="009F47BE"/>
    <w:rsid w:val="009F5856"/>
    <w:rsid w:val="009F5B6F"/>
    <w:rsid w:val="009F694E"/>
    <w:rsid w:val="009F7866"/>
    <w:rsid w:val="00A0375B"/>
    <w:rsid w:val="00A04086"/>
    <w:rsid w:val="00A1033F"/>
    <w:rsid w:val="00A122C2"/>
    <w:rsid w:val="00A12389"/>
    <w:rsid w:val="00A14355"/>
    <w:rsid w:val="00A20C66"/>
    <w:rsid w:val="00A20D36"/>
    <w:rsid w:val="00A21585"/>
    <w:rsid w:val="00A246F5"/>
    <w:rsid w:val="00A256E1"/>
    <w:rsid w:val="00A263E4"/>
    <w:rsid w:val="00A3050E"/>
    <w:rsid w:val="00A32E27"/>
    <w:rsid w:val="00A33C90"/>
    <w:rsid w:val="00A35010"/>
    <w:rsid w:val="00A354BB"/>
    <w:rsid w:val="00A36988"/>
    <w:rsid w:val="00A4013C"/>
    <w:rsid w:val="00A41ED1"/>
    <w:rsid w:val="00A420E9"/>
    <w:rsid w:val="00A4550E"/>
    <w:rsid w:val="00A477F0"/>
    <w:rsid w:val="00A5160B"/>
    <w:rsid w:val="00A51985"/>
    <w:rsid w:val="00A521B8"/>
    <w:rsid w:val="00A55170"/>
    <w:rsid w:val="00A56DE0"/>
    <w:rsid w:val="00A60B0B"/>
    <w:rsid w:val="00A61E21"/>
    <w:rsid w:val="00A62F9F"/>
    <w:rsid w:val="00A632A7"/>
    <w:rsid w:val="00A632E7"/>
    <w:rsid w:val="00A648C4"/>
    <w:rsid w:val="00A655D1"/>
    <w:rsid w:val="00A65F2A"/>
    <w:rsid w:val="00A66C7D"/>
    <w:rsid w:val="00A66F96"/>
    <w:rsid w:val="00A671DB"/>
    <w:rsid w:val="00A6767E"/>
    <w:rsid w:val="00A70FEB"/>
    <w:rsid w:val="00A719BD"/>
    <w:rsid w:val="00A7245C"/>
    <w:rsid w:val="00A73266"/>
    <w:rsid w:val="00A741D1"/>
    <w:rsid w:val="00A769F5"/>
    <w:rsid w:val="00A76FE9"/>
    <w:rsid w:val="00A81E5D"/>
    <w:rsid w:val="00A83C83"/>
    <w:rsid w:val="00A8465C"/>
    <w:rsid w:val="00A85B21"/>
    <w:rsid w:val="00A85D72"/>
    <w:rsid w:val="00A85F5D"/>
    <w:rsid w:val="00A86D01"/>
    <w:rsid w:val="00A90F52"/>
    <w:rsid w:val="00A92002"/>
    <w:rsid w:val="00A92952"/>
    <w:rsid w:val="00A9349C"/>
    <w:rsid w:val="00A93C55"/>
    <w:rsid w:val="00A940E8"/>
    <w:rsid w:val="00A967C1"/>
    <w:rsid w:val="00AA33AF"/>
    <w:rsid w:val="00AA4567"/>
    <w:rsid w:val="00AA4BF5"/>
    <w:rsid w:val="00AB3233"/>
    <w:rsid w:val="00AB4A93"/>
    <w:rsid w:val="00AB4F5E"/>
    <w:rsid w:val="00AB5036"/>
    <w:rsid w:val="00AB5F27"/>
    <w:rsid w:val="00AB6135"/>
    <w:rsid w:val="00AC16FC"/>
    <w:rsid w:val="00AC2F41"/>
    <w:rsid w:val="00AC3385"/>
    <w:rsid w:val="00AC75E8"/>
    <w:rsid w:val="00AC7E52"/>
    <w:rsid w:val="00AD2087"/>
    <w:rsid w:val="00AD2852"/>
    <w:rsid w:val="00AD3310"/>
    <w:rsid w:val="00AD6C36"/>
    <w:rsid w:val="00AD7BFE"/>
    <w:rsid w:val="00AE011B"/>
    <w:rsid w:val="00AE068C"/>
    <w:rsid w:val="00AE2CF6"/>
    <w:rsid w:val="00AE3C4B"/>
    <w:rsid w:val="00AE43E6"/>
    <w:rsid w:val="00AE475F"/>
    <w:rsid w:val="00AE47C6"/>
    <w:rsid w:val="00AE518D"/>
    <w:rsid w:val="00AE552F"/>
    <w:rsid w:val="00AF16A4"/>
    <w:rsid w:val="00AF3351"/>
    <w:rsid w:val="00AF3473"/>
    <w:rsid w:val="00AF3757"/>
    <w:rsid w:val="00AF6C23"/>
    <w:rsid w:val="00AF77F1"/>
    <w:rsid w:val="00B01830"/>
    <w:rsid w:val="00B03B91"/>
    <w:rsid w:val="00B03CB4"/>
    <w:rsid w:val="00B04EE6"/>
    <w:rsid w:val="00B06C94"/>
    <w:rsid w:val="00B07B09"/>
    <w:rsid w:val="00B12B79"/>
    <w:rsid w:val="00B16998"/>
    <w:rsid w:val="00B17017"/>
    <w:rsid w:val="00B177BC"/>
    <w:rsid w:val="00B20C15"/>
    <w:rsid w:val="00B2177C"/>
    <w:rsid w:val="00B21F87"/>
    <w:rsid w:val="00B222AF"/>
    <w:rsid w:val="00B22829"/>
    <w:rsid w:val="00B23607"/>
    <w:rsid w:val="00B238C9"/>
    <w:rsid w:val="00B23BAD"/>
    <w:rsid w:val="00B25C72"/>
    <w:rsid w:val="00B26932"/>
    <w:rsid w:val="00B276CD"/>
    <w:rsid w:val="00B34E71"/>
    <w:rsid w:val="00B36B3B"/>
    <w:rsid w:val="00B3722E"/>
    <w:rsid w:val="00B40195"/>
    <w:rsid w:val="00B407A8"/>
    <w:rsid w:val="00B43C68"/>
    <w:rsid w:val="00B458C1"/>
    <w:rsid w:val="00B45F90"/>
    <w:rsid w:val="00B46D6A"/>
    <w:rsid w:val="00B46DA0"/>
    <w:rsid w:val="00B46E48"/>
    <w:rsid w:val="00B50317"/>
    <w:rsid w:val="00B51B88"/>
    <w:rsid w:val="00B52FCC"/>
    <w:rsid w:val="00B54CF4"/>
    <w:rsid w:val="00B5503D"/>
    <w:rsid w:val="00B5587F"/>
    <w:rsid w:val="00B5680E"/>
    <w:rsid w:val="00B579CD"/>
    <w:rsid w:val="00B57DC6"/>
    <w:rsid w:val="00B62684"/>
    <w:rsid w:val="00B65B7A"/>
    <w:rsid w:val="00B66238"/>
    <w:rsid w:val="00B66365"/>
    <w:rsid w:val="00B674EA"/>
    <w:rsid w:val="00B722AB"/>
    <w:rsid w:val="00B7264C"/>
    <w:rsid w:val="00B73883"/>
    <w:rsid w:val="00B738AC"/>
    <w:rsid w:val="00B74251"/>
    <w:rsid w:val="00B75D9A"/>
    <w:rsid w:val="00B76928"/>
    <w:rsid w:val="00B77BB0"/>
    <w:rsid w:val="00B80ECC"/>
    <w:rsid w:val="00B8139E"/>
    <w:rsid w:val="00B81413"/>
    <w:rsid w:val="00B842CA"/>
    <w:rsid w:val="00B84FEC"/>
    <w:rsid w:val="00B85D4F"/>
    <w:rsid w:val="00B85FD1"/>
    <w:rsid w:val="00B944BF"/>
    <w:rsid w:val="00B956B2"/>
    <w:rsid w:val="00B9612F"/>
    <w:rsid w:val="00B976A2"/>
    <w:rsid w:val="00BA1363"/>
    <w:rsid w:val="00BA145E"/>
    <w:rsid w:val="00BB0642"/>
    <w:rsid w:val="00BB20D0"/>
    <w:rsid w:val="00BB3D1C"/>
    <w:rsid w:val="00BB6707"/>
    <w:rsid w:val="00BB7C67"/>
    <w:rsid w:val="00BC0C0C"/>
    <w:rsid w:val="00BC2721"/>
    <w:rsid w:val="00BC3193"/>
    <w:rsid w:val="00BC3F30"/>
    <w:rsid w:val="00BC6865"/>
    <w:rsid w:val="00BD2167"/>
    <w:rsid w:val="00BD30C9"/>
    <w:rsid w:val="00BD4A30"/>
    <w:rsid w:val="00BE11A8"/>
    <w:rsid w:val="00BE2327"/>
    <w:rsid w:val="00BE2613"/>
    <w:rsid w:val="00BE28E1"/>
    <w:rsid w:val="00BE52B2"/>
    <w:rsid w:val="00BE6794"/>
    <w:rsid w:val="00BE71F1"/>
    <w:rsid w:val="00BF2A0F"/>
    <w:rsid w:val="00C02605"/>
    <w:rsid w:val="00C04C23"/>
    <w:rsid w:val="00C05777"/>
    <w:rsid w:val="00C0613E"/>
    <w:rsid w:val="00C06189"/>
    <w:rsid w:val="00C06421"/>
    <w:rsid w:val="00C11B3B"/>
    <w:rsid w:val="00C12453"/>
    <w:rsid w:val="00C12ADA"/>
    <w:rsid w:val="00C151FE"/>
    <w:rsid w:val="00C15F75"/>
    <w:rsid w:val="00C16364"/>
    <w:rsid w:val="00C1649E"/>
    <w:rsid w:val="00C16705"/>
    <w:rsid w:val="00C17788"/>
    <w:rsid w:val="00C2062A"/>
    <w:rsid w:val="00C20BC9"/>
    <w:rsid w:val="00C272E5"/>
    <w:rsid w:val="00C31C85"/>
    <w:rsid w:val="00C34088"/>
    <w:rsid w:val="00C34F38"/>
    <w:rsid w:val="00C41A98"/>
    <w:rsid w:val="00C41F83"/>
    <w:rsid w:val="00C42905"/>
    <w:rsid w:val="00C43702"/>
    <w:rsid w:val="00C44085"/>
    <w:rsid w:val="00C443D9"/>
    <w:rsid w:val="00C46570"/>
    <w:rsid w:val="00C533A3"/>
    <w:rsid w:val="00C54A9F"/>
    <w:rsid w:val="00C55D3C"/>
    <w:rsid w:val="00C567C9"/>
    <w:rsid w:val="00C568C4"/>
    <w:rsid w:val="00C569B9"/>
    <w:rsid w:val="00C57DF8"/>
    <w:rsid w:val="00C6154E"/>
    <w:rsid w:val="00C643C2"/>
    <w:rsid w:val="00C66294"/>
    <w:rsid w:val="00C66947"/>
    <w:rsid w:val="00C72175"/>
    <w:rsid w:val="00C72247"/>
    <w:rsid w:val="00C72C29"/>
    <w:rsid w:val="00C73E84"/>
    <w:rsid w:val="00C75AA3"/>
    <w:rsid w:val="00C76F04"/>
    <w:rsid w:val="00C81EB2"/>
    <w:rsid w:val="00C8257C"/>
    <w:rsid w:val="00C840DE"/>
    <w:rsid w:val="00C84EA7"/>
    <w:rsid w:val="00C8601A"/>
    <w:rsid w:val="00C864E4"/>
    <w:rsid w:val="00C87E82"/>
    <w:rsid w:val="00C91C5E"/>
    <w:rsid w:val="00C93E5C"/>
    <w:rsid w:val="00C9423B"/>
    <w:rsid w:val="00C94E85"/>
    <w:rsid w:val="00C95268"/>
    <w:rsid w:val="00C95290"/>
    <w:rsid w:val="00C95C54"/>
    <w:rsid w:val="00C9626A"/>
    <w:rsid w:val="00C9765F"/>
    <w:rsid w:val="00CA04BE"/>
    <w:rsid w:val="00CA2980"/>
    <w:rsid w:val="00CA2C69"/>
    <w:rsid w:val="00CA37E3"/>
    <w:rsid w:val="00CA3B6C"/>
    <w:rsid w:val="00CA3EDB"/>
    <w:rsid w:val="00CA4A51"/>
    <w:rsid w:val="00CA5755"/>
    <w:rsid w:val="00CA67D4"/>
    <w:rsid w:val="00CB008A"/>
    <w:rsid w:val="00CB013D"/>
    <w:rsid w:val="00CB0471"/>
    <w:rsid w:val="00CB17AB"/>
    <w:rsid w:val="00CB6CC5"/>
    <w:rsid w:val="00CB7258"/>
    <w:rsid w:val="00CB7410"/>
    <w:rsid w:val="00CB7AA0"/>
    <w:rsid w:val="00CC4B7D"/>
    <w:rsid w:val="00CC5271"/>
    <w:rsid w:val="00CC7FE2"/>
    <w:rsid w:val="00CD1459"/>
    <w:rsid w:val="00CD55B9"/>
    <w:rsid w:val="00CD6AC0"/>
    <w:rsid w:val="00CD7D8F"/>
    <w:rsid w:val="00CE01B9"/>
    <w:rsid w:val="00CE08C8"/>
    <w:rsid w:val="00CE46D8"/>
    <w:rsid w:val="00CE49DA"/>
    <w:rsid w:val="00CE5B05"/>
    <w:rsid w:val="00CF04B8"/>
    <w:rsid w:val="00CF105F"/>
    <w:rsid w:val="00CF1668"/>
    <w:rsid w:val="00CF19BE"/>
    <w:rsid w:val="00CF1D2B"/>
    <w:rsid w:val="00CF2F0D"/>
    <w:rsid w:val="00CF403D"/>
    <w:rsid w:val="00CF45A9"/>
    <w:rsid w:val="00CF692B"/>
    <w:rsid w:val="00CF7EFB"/>
    <w:rsid w:val="00D04C3F"/>
    <w:rsid w:val="00D100D7"/>
    <w:rsid w:val="00D1186C"/>
    <w:rsid w:val="00D128E7"/>
    <w:rsid w:val="00D12B17"/>
    <w:rsid w:val="00D14102"/>
    <w:rsid w:val="00D14549"/>
    <w:rsid w:val="00D21AD2"/>
    <w:rsid w:val="00D242FC"/>
    <w:rsid w:val="00D243F2"/>
    <w:rsid w:val="00D2551D"/>
    <w:rsid w:val="00D2691A"/>
    <w:rsid w:val="00D30573"/>
    <w:rsid w:val="00D30C84"/>
    <w:rsid w:val="00D32648"/>
    <w:rsid w:val="00D33276"/>
    <w:rsid w:val="00D33F52"/>
    <w:rsid w:val="00D35448"/>
    <w:rsid w:val="00D35F20"/>
    <w:rsid w:val="00D367B9"/>
    <w:rsid w:val="00D40CEB"/>
    <w:rsid w:val="00D4102E"/>
    <w:rsid w:val="00D41DB3"/>
    <w:rsid w:val="00D43CCB"/>
    <w:rsid w:val="00D458ED"/>
    <w:rsid w:val="00D45D3A"/>
    <w:rsid w:val="00D47FF7"/>
    <w:rsid w:val="00D5093D"/>
    <w:rsid w:val="00D5335E"/>
    <w:rsid w:val="00D565B0"/>
    <w:rsid w:val="00D5799B"/>
    <w:rsid w:val="00D57ECD"/>
    <w:rsid w:val="00D629AC"/>
    <w:rsid w:val="00D646A3"/>
    <w:rsid w:val="00D70FB5"/>
    <w:rsid w:val="00D71693"/>
    <w:rsid w:val="00D7228E"/>
    <w:rsid w:val="00D776FC"/>
    <w:rsid w:val="00D80026"/>
    <w:rsid w:val="00D82B76"/>
    <w:rsid w:val="00D8352C"/>
    <w:rsid w:val="00D83AD7"/>
    <w:rsid w:val="00D83C8C"/>
    <w:rsid w:val="00D846DB"/>
    <w:rsid w:val="00D855FE"/>
    <w:rsid w:val="00D90E7C"/>
    <w:rsid w:val="00D912A0"/>
    <w:rsid w:val="00D91F33"/>
    <w:rsid w:val="00D945C1"/>
    <w:rsid w:val="00D946C3"/>
    <w:rsid w:val="00D94C69"/>
    <w:rsid w:val="00D955C7"/>
    <w:rsid w:val="00D96E5C"/>
    <w:rsid w:val="00D9786C"/>
    <w:rsid w:val="00D97BE1"/>
    <w:rsid w:val="00DA07AF"/>
    <w:rsid w:val="00DA0E5D"/>
    <w:rsid w:val="00DA13C0"/>
    <w:rsid w:val="00DA281E"/>
    <w:rsid w:val="00DA33B4"/>
    <w:rsid w:val="00DA36C2"/>
    <w:rsid w:val="00DA3C6F"/>
    <w:rsid w:val="00DA6863"/>
    <w:rsid w:val="00DA746C"/>
    <w:rsid w:val="00DA7540"/>
    <w:rsid w:val="00DA77AB"/>
    <w:rsid w:val="00DB29FA"/>
    <w:rsid w:val="00DB328F"/>
    <w:rsid w:val="00DB5213"/>
    <w:rsid w:val="00DB56E5"/>
    <w:rsid w:val="00DB5976"/>
    <w:rsid w:val="00DB70E1"/>
    <w:rsid w:val="00DC16B5"/>
    <w:rsid w:val="00DC7B81"/>
    <w:rsid w:val="00DC7BE6"/>
    <w:rsid w:val="00DD6AFF"/>
    <w:rsid w:val="00DD6C60"/>
    <w:rsid w:val="00DE40B7"/>
    <w:rsid w:val="00DE5EE7"/>
    <w:rsid w:val="00DE622A"/>
    <w:rsid w:val="00DF0877"/>
    <w:rsid w:val="00DF1450"/>
    <w:rsid w:val="00DF3843"/>
    <w:rsid w:val="00DF43F2"/>
    <w:rsid w:val="00DF5DE2"/>
    <w:rsid w:val="00DF7F3E"/>
    <w:rsid w:val="00E041C1"/>
    <w:rsid w:val="00E05538"/>
    <w:rsid w:val="00E05F56"/>
    <w:rsid w:val="00E06EED"/>
    <w:rsid w:val="00E06FDE"/>
    <w:rsid w:val="00E0745D"/>
    <w:rsid w:val="00E079F7"/>
    <w:rsid w:val="00E07D4B"/>
    <w:rsid w:val="00E102CD"/>
    <w:rsid w:val="00E11A56"/>
    <w:rsid w:val="00E12F5B"/>
    <w:rsid w:val="00E14BEE"/>
    <w:rsid w:val="00E15212"/>
    <w:rsid w:val="00E15533"/>
    <w:rsid w:val="00E15A4E"/>
    <w:rsid w:val="00E1776A"/>
    <w:rsid w:val="00E20490"/>
    <w:rsid w:val="00E21137"/>
    <w:rsid w:val="00E215A2"/>
    <w:rsid w:val="00E21D0D"/>
    <w:rsid w:val="00E22C42"/>
    <w:rsid w:val="00E24441"/>
    <w:rsid w:val="00E24C89"/>
    <w:rsid w:val="00E24CFE"/>
    <w:rsid w:val="00E26326"/>
    <w:rsid w:val="00E273BC"/>
    <w:rsid w:val="00E30644"/>
    <w:rsid w:val="00E3075A"/>
    <w:rsid w:val="00E3122B"/>
    <w:rsid w:val="00E326A4"/>
    <w:rsid w:val="00E3393A"/>
    <w:rsid w:val="00E34C42"/>
    <w:rsid w:val="00E353DE"/>
    <w:rsid w:val="00E35ECE"/>
    <w:rsid w:val="00E371BF"/>
    <w:rsid w:val="00E435DE"/>
    <w:rsid w:val="00E437E7"/>
    <w:rsid w:val="00E4454C"/>
    <w:rsid w:val="00E45CBE"/>
    <w:rsid w:val="00E45E42"/>
    <w:rsid w:val="00E476AC"/>
    <w:rsid w:val="00E47C04"/>
    <w:rsid w:val="00E50038"/>
    <w:rsid w:val="00E51044"/>
    <w:rsid w:val="00E5175A"/>
    <w:rsid w:val="00E524E6"/>
    <w:rsid w:val="00E52941"/>
    <w:rsid w:val="00E558E2"/>
    <w:rsid w:val="00E56DC6"/>
    <w:rsid w:val="00E572C2"/>
    <w:rsid w:val="00E57E54"/>
    <w:rsid w:val="00E6691B"/>
    <w:rsid w:val="00E67C75"/>
    <w:rsid w:val="00E70B83"/>
    <w:rsid w:val="00E7363A"/>
    <w:rsid w:val="00E740DA"/>
    <w:rsid w:val="00E751D7"/>
    <w:rsid w:val="00E7670D"/>
    <w:rsid w:val="00E83298"/>
    <w:rsid w:val="00E8365B"/>
    <w:rsid w:val="00E8544A"/>
    <w:rsid w:val="00E91422"/>
    <w:rsid w:val="00E918B4"/>
    <w:rsid w:val="00E91B27"/>
    <w:rsid w:val="00E943B6"/>
    <w:rsid w:val="00E966EE"/>
    <w:rsid w:val="00E96AF2"/>
    <w:rsid w:val="00E97352"/>
    <w:rsid w:val="00EA358B"/>
    <w:rsid w:val="00EA38FD"/>
    <w:rsid w:val="00EA4E3B"/>
    <w:rsid w:val="00EA690E"/>
    <w:rsid w:val="00EA774E"/>
    <w:rsid w:val="00EB067A"/>
    <w:rsid w:val="00EB106C"/>
    <w:rsid w:val="00EB115D"/>
    <w:rsid w:val="00EB2FE6"/>
    <w:rsid w:val="00EB482E"/>
    <w:rsid w:val="00EB664F"/>
    <w:rsid w:val="00EB75A8"/>
    <w:rsid w:val="00EB79F0"/>
    <w:rsid w:val="00EC1F6F"/>
    <w:rsid w:val="00EC570C"/>
    <w:rsid w:val="00EC6A73"/>
    <w:rsid w:val="00EC7D96"/>
    <w:rsid w:val="00ED0425"/>
    <w:rsid w:val="00ED11FD"/>
    <w:rsid w:val="00ED17D1"/>
    <w:rsid w:val="00ED1818"/>
    <w:rsid w:val="00ED2948"/>
    <w:rsid w:val="00ED6281"/>
    <w:rsid w:val="00ED76C4"/>
    <w:rsid w:val="00EE0374"/>
    <w:rsid w:val="00EE0FDA"/>
    <w:rsid w:val="00EE38A4"/>
    <w:rsid w:val="00EE6260"/>
    <w:rsid w:val="00EE63B5"/>
    <w:rsid w:val="00EE6C5C"/>
    <w:rsid w:val="00EF2DB4"/>
    <w:rsid w:val="00EF430B"/>
    <w:rsid w:val="00EF4A61"/>
    <w:rsid w:val="00EF5DBB"/>
    <w:rsid w:val="00EF5FAB"/>
    <w:rsid w:val="00F00865"/>
    <w:rsid w:val="00F02043"/>
    <w:rsid w:val="00F02084"/>
    <w:rsid w:val="00F0233E"/>
    <w:rsid w:val="00F02DD0"/>
    <w:rsid w:val="00F03B04"/>
    <w:rsid w:val="00F04782"/>
    <w:rsid w:val="00F07048"/>
    <w:rsid w:val="00F071E8"/>
    <w:rsid w:val="00F072D6"/>
    <w:rsid w:val="00F1047C"/>
    <w:rsid w:val="00F10B6F"/>
    <w:rsid w:val="00F1175B"/>
    <w:rsid w:val="00F11803"/>
    <w:rsid w:val="00F1443E"/>
    <w:rsid w:val="00F175AE"/>
    <w:rsid w:val="00F20717"/>
    <w:rsid w:val="00F20930"/>
    <w:rsid w:val="00F21463"/>
    <w:rsid w:val="00F235A9"/>
    <w:rsid w:val="00F2658C"/>
    <w:rsid w:val="00F26BE3"/>
    <w:rsid w:val="00F317E8"/>
    <w:rsid w:val="00F31C73"/>
    <w:rsid w:val="00F415CC"/>
    <w:rsid w:val="00F416CD"/>
    <w:rsid w:val="00F42979"/>
    <w:rsid w:val="00F43E67"/>
    <w:rsid w:val="00F44C70"/>
    <w:rsid w:val="00F4502D"/>
    <w:rsid w:val="00F4788A"/>
    <w:rsid w:val="00F504F4"/>
    <w:rsid w:val="00F5293E"/>
    <w:rsid w:val="00F52BF0"/>
    <w:rsid w:val="00F52CFA"/>
    <w:rsid w:val="00F53CF2"/>
    <w:rsid w:val="00F548FC"/>
    <w:rsid w:val="00F57025"/>
    <w:rsid w:val="00F5712D"/>
    <w:rsid w:val="00F615B0"/>
    <w:rsid w:val="00F621DD"/>
    <w:rsid w:val="00F64134"/>
    <w:rsid w:val="00F64B96"/>
    <w:rsid w:val="00F65F37"/>
    <w:rsid w:val="00F679FF"/>
    <w:rsid w:val="00F67D40"/>
    <w:rsid w:val="00F72274"/>
    <w:rsid w:val="00F735C1"/>
    <w:rsid w:val="00F73A51"/>
    <w:rsid w:val="00F74B09"/>
    <w:rsid w:val="00F7634B"/>
    <w:rsid w:val="00F76B19"/>
    <w:rsid w:val="00F77532"/>
    <w:rsid w:val="00F77CFF"/>
    <w:rsid w:val="00F841B3"/>
    <w:rsid w:val="00F846DA"/>
    <w:rsid w:val="00F85504"/>
    <w:rsid w:val="00F85597"/>
    <w:rsid w:val="00F915D8"/>
    <w:rsid w:val="00F92E14"/>
    <w:rsid w:val="00F93BB6"/>
    <w:rsid w:val="00F97D59"/>
    <w:rsid w:val="00FA5DD6"/>
    <w:rsid w:val="00FB0090"/>
    <w:rsid w:val="00FB0E6F"/>
    <w:rsid w:val="00FB16F8"/>
    <w:rsid w:val="00FB2755"/>
    <w:rsid w:val="00FB5FD4"/>
    <w:rsid w:val="00FB6D91"/>
    <w:rsid w:val="00FB7FBF"/>
    <w:rsid w:val="00FC3D98"/>
    <w:rsid w:val="00FC4655"/>
    <w:rsid w:val="00FC5EB9"/>
    <w:rsid w:val="00FD00B1"/>
    <w:rsid w:val="00FD1FC4"/>
    <w:rsid w:val="00FD2F07"/>
    <w:rsid w:val="00FD32F5"/>
    <w:rsid w:val="00FE09DB"/>
    <w:rsid w:val="00FE1324"/>
    <w:rsid w:val="00FE170D"/>
    <w:rsid w:val="00FE3030"/>
    <w:rsid w:val="00FE308A"/>
    <w:rsid w:val="00FE3F87"/>
    <w:rsid w:val="00FE47C6"/>
    <w:rsid w:val="00FE70AA"/>
    <w:rsid w:val="00FF1AA2"/>
    <w:rsid w:val="00FF411F"/>
    <w:rsid w:val="00FF5D5A"/>
    <w:rsid w:val="00FF765E"/>
    <w:rsid w:val="010D6532"/>
    <w:rsid w:val="012B791C"/>
    <w:rsid w:val="0427BC82"/>
    <w:rsid w:val="04A96158"/>
    <w:rsid w:val="056DA49E"/>
    <w:rsid w:val="07451159"/>
    <w:rsid w:val="07F960F4"/>
    <w:rsid w:val="081CABE3"/>
    <w:rsid w:val="0927EAA3"/>
    <w:rsid w:val="094AFEBE"/>
    <w:rsid w:val="09DB0AF5"/>
    <w:rsid w:val="0CE5D1DE"/>
    <w:rsid w:val="10D81510"/>
    <w:rsid w:val="10F265AC"/>
    <w:rsid w:val="11AA73B3"/>
    <w:rsid w:val="12A491CA"/>
    <w:rsid w:val="137A57A1"/>
    <w:rsid w:val="1614BCD0"/>
    <w:rsid w:val="1630F4AD"/>
    <w:rsid w:val="16F73E67"/>
    <w:rsid w:val="17F4A7D5"/>
    <w:rsid w:val="197263CF"/>
    <w:rsid w:val="1AD306B6"/>
    <w:rsid w:val="1B0E59B6"/>
    <w:rsid w:val="1C768C22"/>
    <w:rsid w:val="1D57348E"/>
    <w:rsid w:val="1D66B4A6"/>
    <w:rsid w:val="1DAA7485"/>
    <w:rsid w:val="1FF866B5"/>
    <w:rsid w:val="208CC894"/>
    <w:rsid w:val="21A9E965"/>
    <w:rsid w:val="2207FAF7"/>
    <w:rsid w:val="22119FD5"/>
    <w:rsid w:val="22B1024E"/>
    <w:rsid w:val="237083BA"/>
    <w:rsid w:val="2A99800C"/>
    <w:rsid w:val="2DEC43BE"/>
    <w:rsid w:val="2E222F9E"/>
    <w:rsid w:val="31982950"/>
    <w:rsid w:val="3258FAD3"/>
    <w:rsid w:val="32B03052"/>
    <w:rsid w:val="356D4D24"/>
    <w:rsid w:val="3665FFA0"/>
    <w:rsid w:val="36D67CE4"/>
    <w:rsid w:val="376D5DC5"/>
    <w:rsid w:val="3863E011"/>
    <w:rsid w:val="3AD02FC4"/>
    <w:rsid w:val="3B5C20E8"/>
    <w:rsid w:val="3BBB6280"/>
    <w:rsid w:val="3FF1B53B"/>
    <w:rsid w:val="410E1DD6"/>
    <w:rsid w:val="467BE3E7"/>
    <w:rsid w:val="46F4096C"/>
    <w:rsid w:val="47DD754D"/>
    <w:rsid w:val="481A7C55"/>
    <w:rsid w:val="49244F4E"/>
    <w:rsid w:val="4CF47E4B"/>
    <w:rsid w:val="4FDBDDD7"/>
    <w:rsid w:val="5396C9E6"/>
    <w:rsid w:val="53C2E6C7"/>
    <w:rsid w:val="547748E4"/>
    <w:rsid w:val="54AA790F"/>
    <w:rsid w:val="55E8E0C9"/>
    <w:rsid w:val="5785E23F"/>
    <w:rsid w:val="5A00287E"/>
    <w:rsid w:val="5C3E5AFB"/>
    <w:rsid w:val="5CC587BF"/>
    <w:rsid w:val="5CD4BC64"/>
    <w:rsid w:val="5D07B842"/>
    <w:rsid w:val="5D441A16"/>
    <w:rsid w:val="5D519B77"/>
    <w:rsid w:val="5E093FCE"/>
    <w:rsid w:val="5E255BD1"/>
    <w:rsid w:val="6037624B"/>
    <w:rsid w:val="60890033"/>
    <w:rsid w:val="616B13BE"/>
    <w:rsid w:val="617935B5"/>
    <w:rsid w:val="64367E61"/>
    <w:rsid w:val="65B4B491"/>
    <w:rsid w:val="66903982"/>
    <w:rsid w:val="67B93A74"/>
    <w:rsid w:val="6996B011"/>
    <w:rsid w:val="69D091E6"/>
    <w:rsid w:val="6BFAAE02"/>
    <w:rsid w:val="6C3CC7DB"/>
    <w:rsid w:val="6C905E94"/>
    <w:rsid w:val="6DC6A0E0"/>
    <w:rsid w:val="6FD5F9D4"/>
    <w:rsid w:val="724CAF99"/>
    <w:rsid w:val="7276DADF"/>
    <w:rsid w:val="72A07B26"/>
    <w:rsid w:val="72F27668"/>
    <w:rsid w:val="7396CA9A"/>
    <w:rsid w:val="7476B5EC"/>
    <w:rsid w:val="75B50217"/>
    <w:rsid w:val="766170C4"/>
    <w:rsid w:val="78AA4B59"/>
    <w:rsid w:val="7BE471BB"/>
    <w:rsid w:val="7EA0F97E"/>
    <w:rsid w:val="7EF5F458"/>
    <w:rsid w:val="7F1280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32E44"/>
  <w15:chartTrackingRefBased/>
  <w15:docId w15:val="{F7492475-D601-467C-BBE9-431C0FA5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unhideWhenUsed/>
    <w:qFormat/>
    <w:rsid w:val="00E3393A"/>
    <w:pPr>
      <w:keepNext/>
      <w:keepLines/>
      <w:spacing w:before="40"/>
      <w:outlineLvl w:val="5"/>
    </w:pPr>
    <w:rPr>
      <w:rFonts w:asciiTheme="majorHAnsi" w:eastAsiaTheme="majorEastAsia" w:hAnsiTheme="majorHAnsi" w:cstheme="majorBidi"/>
      <w:color w:val="00313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paragraph">
    <w:name w:val="paragraph"/>
    <w:basedOn w:val="Normal"/>
    <w:rsid w:val="009F314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9F3145"/>
  </w:style>
  <w:style w:type="character" w:customStyle="1" w:styleId="superscript">
    <w:name w:val="superscript"/>
    <w:basedOn w:val="DefaultParagraphFont"/>
    <w:rsid w:val="009F3145"/>
  </w:style>
  <w:style w:type="character" w:customStyle="1" w:styleId="eop">
    <w:name w:val="eop"/>
    <w:basedOn w:val="DefaultParagraphFont"/>
    <w:rsid w:val="009F3145"/>
  </w:style>
  <w:style w:type="character" w:styleId="CommentReference">
    <w:name w:val="annotation reference"/>
    <w:basedOn w:val="DefaultParagraphFont"/>
    <w:uiPriority w:val="99"/>
    <w:semiHidden/>
    <w:unhideWhenUsed/>
    <w:rsid w:val="009F3145"/>
    <w:rPr>
      <w:sz w:val="16"/>
      <w:szCs w:val="16"/>
    </w:rPr>
  </w:style>
  <w:style w:type="paragraph" w:styleId="CommentText">
    <w:name w:val="annotation text"/>
    <w:basedOn w:val="Normal"/>
    <w:link w:val="CommentTextChar"/>
    <w:uiPriority w:val="99"/>
    <w:unhideWhenUsed/>
    <w:rsid w:val="009F3145"/>
    <w:pPr>
      <w:spacing w:line="240" w:lineRule="auto"/>
    </w:pPr>
    <w:rPr>
      <w:sz w:val="20"/>
      <w:szCs w:val="20"/>
    </w:rPr>
  </w:style>
  <w:style w:type="character" w:customStyle="1" w:styleId="CommentTextChar">
    <w:name w:val="Comment Text Char"/>
    <w:basedOn w:val="DefaultParagraphFont"/>
    <w:link w:val="CommentText"/>
    <w:uiPriority w:val="99"/>
    <w:rsid w:val="009F314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F3145"/>
    <w:rPr>
      <w:b/>
      <w:bCs/>
    </w:rPr>
  </w:style>
  <w:style w:type="character" w:customStyle="1" w:styleId="CommentSubjectChar">
    <w:name w:val="Comment Subject Char"/>
    <w:basedOn w:val="CommentTextChar"/>
    <w:link w:val="CommentSubject"/>
    <w:uiPriority w:val="99"/>
    <w:semiHidden/>
    <w:rsid w:val="009F3145"/>
    <w:rPr>
      <w:rFonts w:eastAsiaTheme="minorEastAsia"/>
      <w:b/>
      <w:bCs/>
      <w:sz w:val="20"/>
      <w:szCs w:val="20"/>
    </w:rPr>
  </w:style>
  <w:style w:type="paragraph" w:styleId="ListParagraph">
    <w:name w:val="List Paragraph"/>
    <w:basedOn w:val="Normal"/>
    <w:uiPriority w:val="34"/>
    <w:qFormat/>
    <w:rsid w:val="00E56DC6"/>
    <w:pPr>
      <w:ind w:left="720"/>
      <w:contextualSpacing/>
    </w:pPr>
  </w:style>
  <w:style w:type="character" w:styleId="FootnoteReference">
    <w:name w:val="footnote reference"/>
    <w:basedOn w:val="DefaultParagraphFont"/>
    <w:uiPriority w:val="99"/>
    <w:semiHidden/>
    <w:unhideWhenUsed/>
    <w:rsid w:val="00C55D3C"/>
    <w:rPr>
      <w:vertAlign w:val="superscript"/>
    </w:rPr>
  </w:style>
  <w:style w:type="paragraph" w:styleId="FootnoteText">
    <w:name w:val="footnote text"/>
    <w:basedOn w:val="Normal"/>
    <w:link w:val="FootnoteTextChar"/>
    <w:uiPriority w:val="99"/>
    <w:semiHidden/>
    <w:unhideWhenUsed/>
    <w:rsid w:val="005E4430"/>
    <w:pPr>
      <w:spacing w:line="240" w:lineRule="auto"/>
    </w:pPr>
    <w:rPr>
      <w:sz w:val="20"/>
      <w:szCs w:val="20"/>
    </w:rPr>
  </w:style>
  <w:style w:type="character" w:customStyle="1" w:styleId="FootnoteTextChar">
    <w:name w:val="Footnote Text Char"/>
    <w:basedOn w:val="DefaultParagraphFont"/>
    <w:link w:val="FootnoteText"/>
    <w:uiPriority w:val="99"/>
    <w:semiHidden/>
    <w:rsid w:val="005E4430"/>
    <w:rPr>
      <w:rFonts w:eastAsiaTheme="minorEastAsia"/>
      <w:sz w:val="20"/>
      <w:szCs w:val="20"/>
    </w:rPr>
  </w:style>
  <w:style w:type="paragraph" w:customStyle="1" w:styleId="footnotedescription">
    <w:name w:val="footnote description"/>
    <w:next w:val="Normal"/>
    <w:link w:val="footnotedescriptionChar"/>
    <w:hidden/>
    <w:rsid w:val="00821651"/>
    <w:pPr>
      <w:spacing w:line="259" w:lineRule="auto"/>
    </w:pPr>
    <w:rPr>
      <w:rFonts w:ascii="Arial" w:eastAsia="Arial" w:hAnsi="Arial" w:cs="Arial"/>
      <w:color w:val="000000"/>
      <w:sz w:val="20"/>
      <w:szCs w:val="22"/>
      <w:lang w:eastAsia="en-GB"/>
    </w:rPr>
  </w:style>
  <w:style w:type="character" w:customStyle="1" w:styleId="footnotedescriptionChar">
    <w:name w:val="footnote description Char"/>
    <w:link w:val="footnotedescription"/>
    <w:rsid w:val="00821651"/>
    <w:rPr>
      <w:rFonts w:ascii="Arial" w:eastAsia="Arial" w:hAnsi="Arial" w:cs="Arial"/>
      <w:color w:val="000000"/>
      <w:sz w:val="20"/>
      <w:szCs w:val="22"/>
      <w:lang w:eastAsia="en-GB"/>
    </w:rPr>
  </w:style>
  <w:style w:type="character" w:customStyle="1" w:styleId="footnotemark">
    <w:name w:val="footnote mark"/>
    <w:hidden/>
    <w:rsid w:val="00821651"/>
    <w:rPr>
      <w:rFonts w:ascii="Arial" w:eastAsia="Arial" w:hAnsi="Arial" w:cs="Arial"/>
      <w:color w:val="000000"/>
      <w:sz w:val="20"/>
      <w:vertAlign w:val="superscript"/>
    </w:rPr>
  </w:style>
  <w:style w:type="table" w:customStyle="1" w:styleId="TableGrid1">
    <w:name w:val="Table Grid1"/>
    <w:rsid w:val="00E21137"/>
    <w:rPr>
      <w:rFonts w:eastAsiaTheme="minorEastAsia"/>
      <w:sz w:val="22"/>
      <w:szCs w:val="22"/>
      <w:lang w:eastAsia="en-GB"/>
    </w:rPr>
    <w:tblPr>
      <w:tblCellMar>
        <w:top w:w="0" w:type="dxa"/>
        <w:left w:w="0" w:type="dxa"/>
        <w:bottom w:w="0" w:type="dxa"/>
        <w:right w:w="0" w:type="dxa"/>
      </w:tblCellMar>
    </w:tblPr>
  </w:style>
  <w:style w:type="table" w:styleId="TableGrid">
    <w:name w:val="Table Grid"/>
    <w:basedOn w:val="TableNormal"/>
    <w:uiPriority w:val="39"/>
    <w:rsid w:val="00AD2852"/>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E3393A"/>
    <w:rPr>
      <w:rFonts w:asciiTheme="majorHAnsi" w:eastAsiaTheme="majorEastAsia" w:hAnsiTheme="majorHAnsi" w:cstheme="majorBidi"/>
      <w:color w:val="003139" w:themeColor="accent1" w:themeShade="7F"/>
    </w:rPr>
  </w:style>
  <w:style w:type="character" w:styleId="FollowedHyperlink">
    <w:name w:val="FollowedHyperlink"/>
    <w:basedOn w:val="DefaultParagraphFont"/>
    <w:uiPriority w:val="99"/>
    <w:semiHidden/>
    <w:unhideWhenUsed/>
    <w:rsid w:val="00680726"/>
    <w:rPr>
      <w:color w:val="016574" w:themeColor="followedHyperlink"/>
      <w:u w:val="single"/>
    </w:rPr>
  </w:style>
  <w:style w:type="paragraph" w:styleId="EndnoteText">
    <w:name w:val="endnote text"/>
    <w:basedOn w:val="Normal"/>
    <w:link w:val="EndnoteTextChar"/>
    <w:uiPriority w:val="99"/>
    <w:semiHidden/>
    <w:unhideWhenUsed/>
    <w:rsid w:val="00887F2E"/>
    <w:pPr>
      <w:spacing w:line="240" w:lineRule="auto"/>
    </w:pPr>
    <w:rPr>
      <w:sz w:val="20"/>
      <w:szCs w:val="20"/>
    </w:rPr>
  </w:style>
  <w:style w:type="character" w:customStyle="1" w:styleId="EndnoteTextChar">
    <w:name w:val="Endnote Text Char"/>
    <w:basedOn w:val="DefaultParagraphFont"/>
    <w:link w:val="EndnoteText"/>
    <w:uiPriority w:val="99"/>
    <w:semiHidden/>
    <w:rsid w:val="00887F2E"/>
    <w:rPr>
      <w:rFonts w:eastAsiaTheme="minorEastAsia"/>
      <w:sz w:val="20"/>
      <w:szCs w:val="20"/>
    </w:rPr>
  </w:style>
  <w:style w:type="character" w:styleId="EndnoteReference">
    <w:name w:val="endnote reference"/>
    <w:basedOn w:val="DefaultParagraphFont"/>
    <w:uiPriority w:val="99"/>
    <w:semiHidden/>
    <w:unhideWhenUsed/>
    <w:rsid w:val="00887F2E"/>
    <w:rPr>
      <w:vertAlign w:val="superscript"/>
    </w:rPr>
  </w:style>
  <w:style w:type="paragraph" w:styleId="TOCHeading">
    <w:name w:val="TOC Heading"/>
    <w:basedOn w:val="Heading1"/>
    <w:next w:val="Normal"/>
    <w:uiPriority w:val="39"/>
    <w:unhideWhenUsed/>
    <w:qFormat/>
    <w:rsid w:val="00C8601A"/>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C8601A"/>
    <w:pPr>
      <w:spacing w:after="100"/>
    </w:pPr>
  </w:style>
  <w:style w:type="paragraph" w:styleId="TOC2">
    <w:name w:val="toc 2"/>
    <w:basedOn w:val="Normal"/>
    <w:next w:val="Normal"/>
    <w:autoRedefine/>
    <w:uiPriority w:val="39"/>
    <w:unhideWhenUsed/>
    <w:rsid w:val="00C8601A"/>
    <w:pPr>
      <w:spacing w:after="100"/>
      <w:ind w:left="240"/>
    </w:pPr>
  </w:style>
  <w:style w:type="paragraph" w:styleId="TOC3">
    <w:name w:val="toc 3"/>
    <w:basedOn w:val="Normal"/>
    <w:next w:val="Normal"/>
    <w:autoRedefine/>
    <w:uiPriority w:val="39"/>
    <w:unhideWhenUsed/>
    <w:rsid w:val="00C8601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62597">
      <w:bodyDiv w:val="1"/>
      <w:marLeft w:val="0"/>
      <w:marRight w:val="0"/>
      <w:marTop w:val="0"/>
      <w:marBottom w:val="0"/>
      <w:divBdr>
        <w:top w:val="none" w:sz="0" w:space="0" w:color="auto"/>
        <w:left w:val="none" w:sz="0" w:space="0" w:color="auto"/>
        <w:bottom w:val="none" w:sz="0" w:space="0" w:color="auto"/>
        <w:right w:val="none" w:sz="0" w:space="0" w:color="auto"/>
      </w:divBdr>
    </w:div>
    <w:div w:id="64189404">
      <w:bodyDiv w:val="1"/>
      <w:marLeft w:val="0"/>
      <w:marRight w:val="0"/>
      <w:marTop w:val="0"/>
      <w:marBottom w:val="0"/>
      <w:divBdr>
        <w:top w:val="none" w:sz="0" w:space="0" w:color="auto"/>
        <w:left w:val="none" w:sz="0" w:space="0" w:color="auto"/>
        <w:bottom w:val="none" w:sz="0" w:space="0" w:color="auto"/>
        <w:right w:val="none" w:sz="0" w:space="0" w:color="auto"/>
      </w:divBdr>
      <w:divsChild>
        <w:div w:id="1763141232">
          <w:marLeft w:val="0"/>
          <w:marRight w:val="0"/>
          <w:marTop w:val="0"/>
          <w:marBottom w:val="0"/>
          <w:divBdr>
            <w:top w:val="none" w:sz="0" w:space="0" w:color="auto"/>
            <w:left w:val="none" w:sz="0" w:space="0" w:color="auto"/>
            <w:bottom w:val="none" w:sz="0" w:space="0" w:color="auto"/>
            <w:right w:val="none" w:sz="0" w:space="0" w:color="auto"/>
          </w:divBdr>
        </w:div>
        <w:div w:id="1967198208">
          <w:marLeft w:val="0"/>
          <w:marRight w:val="0"/>
          <w:marTop w:val="0"/>
          <w:marBottom w:val="0"/>
          <w:divBdr>
            <w:top w:val="none" w:sz="0" w:space="0" w:color="auto"/>
            <w:left w:val="none" w:sz="0" w:space="0" w:color="auto"/>
            <w:bottom w:val="none" w:sz="0" w:space="0" w:color="auto"/>
            <w:right w:val="none" w:sz="0" w:space="0" w:color="auto"/>
          </w:divBdr>
        </w:div>
      </w:divsChild>
    </w:div>
    <w:div w:id="73552241">
      <w:bodyDiv w:val="1"/>
      <w:marLeft w:val="0"/>
      <w:marRight w:val="0"/>
      <w:marTop w:val="0"/>
      <w:marBottom w:val="0"/>
      <w:divBdr>
        <w:top w:val="none" w:sz="0" w:space="0" w:color="auto"/>
        <w:left w:val="none" w:sz="0" w:space="0" w:color="auto"/>
        <w:bottom w:val="none" w:sz="0" w:space="0" w:color="auto"/>
        <w:right w:val="none" w:sz="0" w:space="0" w:color="auto"/>
      </w:divBdr>
    </w:div>
    <w:div w:id="144128289">
      <w:bodyDiv w:val="1"/>
      <w:marLeft w:val="0"/>
      <w:marRight w:val="0"/>
      <w:marTop w:val="0"/>
      <w:marBottom w:val="0"/>
      <w:divBdr>
        <w:top w:val="none" w:sz="0" w:space="0" w:color="auto"/>
        <w:left w:val="none" w:sz="0" w:space="0" w:color="auto"/>
        <w:bottom w:val="none" w:sz="0" w:space="0" w:color="auto"/>
        <w:right w:val="none" w:sz="0" w:space="0" w:color="auto"/>
      </w:divBdr>
      <w:divsChild>
        <w:div w:id="708841812">
          <w:marLeft w:val="0"/>
          <w:marRight w:val="0"/>
          <w:marTop w:val="0"/>
          <w:marBottom w:val="0"/>
          <w:divBdr>
            <w:top w:val="none" w:sz="0" w:space="0" w:color="auto"/>
            <w:left w:val="none" w:sz="0" w:space="0" w:color="auto"/>
            <w:bottom w:val="none" w:sz="0" w:space="0" w:color="auto"/>
            <w:right w:val="none" w:sz="0" w:space="0" w:color="auto"/>
          </w:divBdr>
        </w:div>
        <w:div w:id="848904785">
          <w:marLeft w:val="0"/>
          <w:marRight w:val="0"/>
          <w:marTop w:val="0"/>
          <w:marBottom w:val="0"/>
          <w:divBdr>
            <w:top w:val="none" w:sz="0" w:space="0" w:color="auto"/>
            <w:left w:val="none" w:sz="0" w:space="0" w:color="auto"/>
            <w:bottom w:val="none" w:sz="0" w:space="0" w:color="auto"/>
            <w:right w:val="none" w:sz="0" w:space="0" w:color="auto"/>
          </w:divBdr>
          <w:divsChild>
            <w:div w:id="411243766">
              <w:marLeft w:val="0"/>
              <w:marRight w:val="0"/>
              <w:marTop w:val="0"/>
              <w:marBottom w:val="0"/>
              <w:divBdr>
                <w:top w:val="none" w:sz="0" w:space="0" w:color="auto"/>
                <w:left w:val="none" w:sz="0" w:space="0" w:color="auto"/>
                <w:bottom w:val="none" w:sz="0" w:space="0" w:color="auto"/>
                <w:right w:val="none" w:sz="0" w:space="0" w:color="auto"/>
              </w:divBdr>
            </w:div>
            <w:div w:id="432097173">
              <w:marLeft w:val="0"/>
              <w:marRight w:val="0"/>
              <w:marTop w:val="0"/>
              <w:marBottom w:val="0"/>
              <w:divBdr>
                <w:top w:val="none" w:sz="0" w:space="0" w:color="auto"/>
                <w:left w:val="none" w:sz="0" w:space="0" w:color="auto"/>
                <w:bottom w:val="none" w:sz="0" w:space="0" w:color="auto"/>
                <w:right w:val="none" w:sz="0" w:space="0" w:color="auto"/>
              </w:divBdr>
            </w:div>
            <w:div w:id="535391204">
              <w:marLeft w:val="0"/>
              <w:marRight w:val="0"/>
              <w:marTop w:val="0"/>
              <w:marBottom w:val="0"/>
              <w:divBdr>
                <w:top w:val="none" w:sz="0" w:space="0" w:color="auto"/>
                <w:left w:val="none" w:sz="0" w:space="0" w:color="auto"/>
                <w:bottom w:val="none" w:sz="0" w:space="0" w:color="auto"/>
                <w:right w:val="none" w:sz="0" w:space="0" w:color="auto"/>
              </w:divBdr>
            </w:div>
            <w:div w:id="738091803">
              <w:marLeft w:val="0"/>
              <w:marRight w:val="0"/>
              <w:marTop w:val="0"/>
              <w:marBottom w:val="0"/>
              <w:divBdr>
                <w:top w:val="none" w:sz="0" w:space="0" w:color="auto"/>
                <w:left w:val="none" w:sz="0" w:space="0" w:color="auto"/>
                <w:bottom w:val="none" w:sz="0" w:space="0" w:color="auto"/>
                <w:right w:val="none" w:sz="0" w:space="0" w:color="auto"/>
              </w:divBdr>
            </w:div>
            <w:div w:id="748893506">
              <w:marLeft w:val="0"/>
              <w:marRight w:val="0"/>
              <w:marTop w:val="0"/>
              <w:marBottom w:val="0"/>
              <w:divBdr>
                <w:top w:val="none" w:sz="0" w:space="0" w:color="auto"/>
                <w:left w:val="none" w:sz="0" w:space="0" w:color="auto"/>
                <w:bottom w:val="none" w:sz="0" w:space="0" w:color="auto"/>
                <w:right w:val="none" w:sz="0" w:space="0" w:color="auto"/>
              </w:divBdr>
            </w:div>
            <w:div w:id="1018316412">
              <w:marLeft w:val="0"/>
              <w:marRight w:val="0"/>
              <w:marTop w:val="0"/>
              <w:marBottom w:val="0"/>
              <w:divBdr>
                <w:top w:val="none" w:sz="0" w:space="0" w:color="auto"/>
                <w:left w:val="none" w:sz="0" w:space="0" w:color="auto"/>
                <w:bottom w:val="none" w:sz="0" w:space="0" w:color="auto"/>
                <w:right w:val="none" w:sz="0" w:space="0" w:color="auto"/>
              </w:divBdr>
            </w:div>
            <w:div w:id="1228804308">
              <w:marLeft w:val="0"/>
              <w:marRight w:val="0"/>
              <w:marTop w:val="0"/>
              <w:marBottom w:val="0"/>
              <w:divBdr>
                <w:top w:val="none" w:sz="0" w:space="0" w:color="auto"/>
                <w:left w:val="none" w:sz="0" w:space="0" w:color="auto"/>
                <w:bottom w:val="none" w:sz="0" w:space="0" w:color="auto"/>
                <w:right w:val="none" w:sz="0" w:space="0" w:color="auto"/>
              </w:divBdr>
            </w:div>
            <w:div w:id="1593247113">
              <w:marLeft w:val="0"/>
              <w:marRight w:val="0"/>
              <w:marTop w:val="0"/>
              <w:marBottom w:val="0"/>
              <w:divBdr>
                <w:top w:val="none" w:sz="0" w:space="0" w:color="auto"/>
                <w:left w:val="none" w:sz="0" w:space="0" w:color="auto"/>
                <w:bottom w:val="none" w:sz="0" w:space="0" w:color="auto"/>
                <w:right w:val="none" w:sz="0" w:space="0" w:color="auto"/>
              </w:divBdr>
            </w:div>
            <w:div w:id="1622031275">
              <w:marLeft w:val="0"/>
              <w:marRight w:val="0"/>
              <w:marTop w:val="0"/>
              <w:marBottom w:val="0"/>
              <w:divBdr>
                <w:top w:val="none" w:sz="0" w:space="0" w:color="auto"/>
                <w:left w:val="none" w:sz="0" w:space="0" w:color="auto"/>
                <w:bottom w:val="none" w:sz="0" w:space="0" w:color="auto"/>
                <w:right w:val="none" w:sz="0" w:space="0" w:color="auto"/>
              </w:divBdr>
            </w:div>
            <w:div w:id="1850489141">
              <w:marLeft w:val="0"/>
              <w:marRight w:val="0"/>
              <w:marTop w:val="0"/>
              <w:marBottom w:val="0"/>
              <w:divBdr>
                <w:top w:val="none" w:sz="0" w:space="0" w:color="auto"/>
                <w:left w:val="none" w:sz="0" w:space="0" w:color="auto"/>
                <w:bottom w:val="none" w:sz="0" w:space="0" w:color="auto"/>
                <w:right w:val="none" w:sz="0" w:space="0" w:color="auto"/>
              </w:divBdr>
            </w:div>
            <w:div w:id="1898204572">
              <w:marLeft w:val="0"/>
              <w:marRight w:val="0"/>
              <w:marTop w:val="0"/>
              <w:marBottom w:val="0"/>
              <w:divBdr>
                <w:top w:val="none" w:sz="0" w:space="0" w:color="auto"/>
                <w:left w:val="none" w:sz="0" w:space="0" w:color="auto"/>
                <w:bottom w:val="none" w:sz="0" w:space="0" w:color="auto"/>
                <w:right w:val="none" w:sz="0" w:space="0" w:color="auto"/>
              </w:divBdr>
            </w:div>
            <w:div w:id="1925723905">
              <w:marLeft w:val="0"/>
              <w:marRight w:val="0"/>
              <w:marTop w:val="0"/>
              <w:marBottom w:val="0"/>
              <w:divBdr>
                <w:top w:val="none" w:sz="0" w:space="0" w:color="auto"/>
                <w:left w:val="none" w:sz="0" w:space="0" w:color="auto"/>
                <w:bottom w:val="none" w:sz="0" w:space="0" w:color="auto"/>
                <w:right w:val="none" w:sz="0" w:space="0" w:color="auto"/>
              </w:divBdr>
            </w:div>
            <w:div w:id="2111007775">
              <w:marLeft w:val="0"/>
              <w:marRight w:val="0"/>
              <w:marTop w:val="0"/>
              <w:marBottom w:val="0"/>
              <w:divBdr>
                <w:top w:val="none" w:sz="0" w:space="0" w:color="auto"/>
                <w:left w:val="none" w:sz="0" w:space="0" w:color="auto"/>
                <w:bottom w:val="none" w:sz="0" w:space="0" w:color="auto"/>
                <w:right w:val="none" w:sz="0" w:space="0" w:color="auto"/>
              </w:divBdr>
            </w:div>
          </w:divsChild>
        </w:div>
        <w:div w:id="1510484231">
          <w:marLeft w:val="0"/>
          <w:marRight w:val="0"/>
          <w:marTop w:val="0"/>
          <w:marBottom w:val="0"/>
          <w:divBdr>
            <w:top w:val="none" w:sz="0" w:space="0" w:color="auto"/>
            <w:left w:val="none" w:sz="0" w:space="0" w:color="auto"/>
            <w:bottom w:val="none" w:sz="0" w:space="0" w:color="auto"/>
            <w:right w:val="none" w:sz="0" w:space="0" w:color="auto"/>
          </w:divBdr>
        </w:div>
      </w:divsChild>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671877084">
      <w:bodyDiv w:val="1"/>
      <w:marLeft w:val="0"/>
      <w:marRight w:val="0"/>
      <w:marTop w:val="0"/>
      <w:marBottom w:val="0"/>
      <w:divBdr>
        <w:top w:val="none" w:sz="0" w:space="0" w:color="auto"/>
        <w:left w:val="none" w:sz="0" w:space="0" w:color="auto"/>
        <w:bottom w:val="none" w:sz="0" w:space="0" w:color="auto"/>
        <w:right w:val="none" w:sz="0" w:space="0" w:color="auto"/>
      </w:divBdr>
      <w:divsChild>
        <w:div w:id="92015474">
          <w:marLeft w:val="0"/>
          <w:marRight w:val="0"/>
          <w:marTop w:val="0"/>
          <w:marBottom w:val="0"/>
          <w:divBdr>
            <w:top w:val="none" w:sz="0" w:space="0" w:color="auto"/>
            <w:left w:val="none" w:sz="0" w:space="0" w:color="auto"/>
            <w:bottom w:val="none" w:sz="0" w:space="0" w:color="auto"/>
            <w:right w:val="none" w:sz="0" w:space="0" w:color="auto"/>
          </w:divBdr>
        </w:div>
        <w:div w:id="296957083">
          <w:marLeft w:val="0"/>
          <w:marRight w:val="0"/>
          <w:marTop w:val="0"/>
          <w:marBottom w:val="0"/>
          <w:divBdr>
            <w:top w:val="none" w:sz="0" w:space="0" w:color="auto"/>
            <w:left w:val="none" w:sz="0" w:space="0" w:color="auto"/>
            <w:bottom w:val="none" w:sz="0" w:space="0" w:color="auto"/>
            <w:right w:val="none" w:sz="0" w:space="0" w:color="auto"/>
          </w:divBdr>
        </w:div>
      </w:divsChild>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204756886">
      <w:bodyDiv w:val="1"/>
      <w:marLeft w:val="0"/>
      <w:marRight w:val="0"/>
      <w:marTop w:val="0"/>
      <w:marBottom w:val="0"/>
      <w:divBdr>
        <w:top w:val="none" w:sz="0" w:space="0" w:color="auto"/>
        <w:left w:val="none" w:sz="0" w:space="0" w:color="auto"/>
        <w:bottom w:val="none" w:sz="0" w:space="0" w:color="auto"/>
        <w:right w:val="none" w:sz="0" w:space="0" w:color="auto"/>
      </w:divBdr>
      <w:divsChild>
        <w:div w:id="68385098">
          <w:marLeft w:val="0"/>
          <w:marRight w:val="0"/>
          <w:marTop w:val="0"/>
          <w:marBottom w:val="0"/>
          <w:divBdr>
            <w:top w:val="none" w:sz="0" w:space="0" w:color="auto"/>
            <w:left w:val="none" w:sz="0" w:space="0" w:color="auto"/>
            <w:bottom w:val="none" w:sz="0" w:space="0" w:color="auto"/>
            <w:right w:val="none" w:sz="0" w:space="0" w:color="auto"/>
          </w:divBdr>
        </w:div>
        <w:div w:id="608464540">
          <w:marLeft w:val="0"/>
          <w:marRight w:val="0"/>
          <w:marTop w:val="0"/>
          <w:marBottom w:val="0"/>
          <w:divBdr>
            <w:top w:val="none" w:sz="0" w:space="0" w:color="auto"/>
            <w:left w:val="none" w:sz="0" w:space="0" w:color="auto"/>
            <w:bottom w:val="none" w:sz="0" w:space="0" w:color="auto"/>
            <w:right w:val="none" w:sz="0" w:space="0" w:color="auto"/>
          </w:divBdr>
        </w:div>
        <w:div w:id="1963921183">
          <w:marLeft w:val="0"/>
          <w:marRight w:val="0"/>
          <w:marTop w:val="0"/>
          <w:marBottom w:val="0"/>
          <w:divBdr>
            <w:top w:val="none" w:sz="0" w:space="0" w:color="auto"/>
            <w:left w:val="none" w:sz="0" w:space="0" w:color="auto"/>
            <w:bottom w:val="none" w:sz="0" w:space="0" w:color="auto"/>
            <w:right w:val="none" w:sz="0" w:space="0" w:color="auto"/>
          </w:divBdr>
        </w:div>
      </w:divsChild>
    </w:div>
    <w:div w:id="1219516642">
      <w:bodyDiv w:val="1"/>
      <w:marLeft w:val="0"/>
      <w:marRight w:val="0"/>
      <w:marTop w:val="0"/>
      <w:marBottom w:val="0"/>
      <w:divBdr>
        <w:top w:val="none" w:sz="0" w:space="0" w:color="auto"/>
        <w:left w:val="none" w:sz="0" w:space="0" w:color="auto"/>
        <w:bottom w:val="none" w:sz="0" w:space="0" w:color="auto"/>
        <w:right w:val="none" w:sz="0" w:space="0" w:color="auto"/>
      </w:divBdr>
      <w:divsChild>
        <w:div w:id="290094341">
          <w:marLeft w:val="0"/>
          <w:marRight w:val="0"/>
          <w:marTop w:val="0"/>
          <w:marBottom w:val="0"/>
          <w:divBdr>
            <w:top w:val="none" w:sz="0" w:space="0" w:color="auto"/>
            <w:left w:val="none" w:sz="0" w:space="0" w:color="auto"/>
            <w:bottom w:val="none" w:sz="0" w:space="0" w:color="auto"/>
            <w:right w:val="none" w:sz="0" w:space="0" w:color="auto"/>
          </w:divBdr>
        </w:div>
        <w:div w:id="1325863023">
          <w:marLeft w:val="0"/>
          <w:marRight w:val="0"/>
          <w:marTop w:val="0"/>
          <w:marBottom w:val="0"/>
          <w:divBdr>
            <w:top w:val="none" w:sz="0" w:space="0" w:color="auto"/>
            <w:left w:val="none" w:sz="0" w:space="0" w:color="auto"/>
            <w:bottom w:val="none" w:sz="0" w:space="0" w:color="auto"/>
            <w:right w:val="none" w:sz="0" w:space="0" w:color="auto"/>
          </w:divBdr>
        </w:div>
        <w:div w:id="2136488397">
          <w:marLeft w:val="0"/>
          <w:marRight w:val="0"/>
          <w:marTop w:val="0"/>
          <w:marBottom w:val="0"/>
          <w:divBdr>
            <w:top w:val="none" w:sz="0" w:space="0" w:color="auto"/>
            <w:left w:val="none" w:sz="0" w:space="0" w:color="auto"/>
            <w:bottom w:val="none" w:sz="0" w:space="0" w:color="auto"/>
            <w:right w:val="none" w:sz="0" w:space="0" w:color="auto"/>
          </w:divBdr>
        </w:div>
      </w:divsChild>
    </w:div>
    <w:div w:id="1668436112">
      <w:bodyDiv w:val="1"/>
      <w:marLeft w:val="0"/>
      <w:marRight w:val="0"/>
      <w:marTop w:val="0"/>
      <w:marBottom w:val="0"/>
      <w:divBdr>
        <w:top w:val="none" w:sz="0" w:space="0" w:color="auto"/>
        <w:left w:val="none" w:sz="0" w:space="0" w:color="auto"/>
        <w:bottom w:val="none" w:sz="0" w:space="0" w:color="auto"/>
        <w:right w:val="none" w:sz="0" w:space="0" w:color="auto"/>
      </w:divBdr>
      <w:divsChild>
        <w:div w:id="1770542509">
          <w:marLeft w:val="0"/>
          <w:marRight w:val="0"/>
          <w:marTop w:val="0"/>
          <w:marBottom w:val="0"/>
          <w:divBdr>
            <w:top w:val="none" w:sz="0" w:space="0" w:color="auto"/>
            <w:left w:val="none" w:sz="0" w:space="0" w:color="auto"/>
            <w:bottom w:val="none" w:sz="0" w:space="0" w:color="auto"/>
            <w:right w:val="none" w:sz="0" w:space="0" w:color="auto"/>
          </w:divBdr>
        </w:div>
        <w:div w:id="1856916101">
          <w:marLeft w:val="0"/>
          <w:marRight w:val="0"/>
          <w:marTop w:val="0"/>
          <w:marBottom w:val="0"/>
          <w:divBdr>
            <w:top w:val="none" w:sz="0" w:space="0" w:color="auto"/>
            <w:left w:val="none" w:sz="0" w:space="0" w:color="auto"/>
            <w:bottom w:val="none" w:sz="0" w:space="0" w:color="auto"/>
            <w:right w:val="none" w:sz="0" w:space="0" w:color="auto"/>
          </w:divBdr>
        </w:div>
      </w:divsChild>
    </w:div>
    <w:div w:id="1692875965">
      <w:bodyDiv w:val="1"/>
      <w:marLeft w:val="0"/>
      <w:marRight w:val="0"/>
      <w:marTop w:val="0"/>
      <w:marBottom w:val="0"/>
      <w:divBdr>
        <w:top w:val="none" w:sz="0" w:space="0" w:color="auto"/>
        <w:left w:val="none" w:sz="0" w:space="0" w:color="auto"/>
        <w:bottom w:val="none" w:sz="0" w:space="0" w:color="auto"/>
        <w:right w:val="none" w:sz="0" w:space="0" w:color="auto"/>
      </w:divBdr>
      <w:divsChild>
        <w:div w:id="73668372">
          <w:marLeft w:val="0"/>
          <w:marRight w:val="0"/>
          <w:marTop w:val="0"/>
          <w:marBottom w:val="0"/>
          <w:divBdr>
            <w:top w:val="none" w:sz="0" w:space="0" w:color="auto"/>
            <w:left w:val="none" w:sz="0" w:space="0" w:color="auto"/>
            <w:bottom w:val="none" w:sz="0" w:space="0" w:color="auto"/>
            <w:right w:val="none" w:sz="0" w:space="0" w:color="auto"/>
          </w:divBdr>
        </w:div>
        <w:div w:id="987440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eur-lex.europa.eu/legal-content/EN/TX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onsultation.sepa.org.uk/circular-economy/78f28f61/user_uploads/list-of-standards-06112020.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wfduk.org/resources/groundwater-dependent-terrestrial-ecosystem-threshold-valu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legislation.gov.uk/ssi/2013/323/contents/made"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1990/43/content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d4d6b0-2bd1-40f7-94aa-8d4785e79023">
      <Terms xmlns="http://schemas.microsoft.com/office/infopath/2007/PartnerControls"/>
    </lcf76f155ced4ddcb4097134ff3c332f>
    <TaxCatchAll xmlns="ce5b52f7-9556-48ad-bf4f-1238de82834a" xsi:nil="true"/>
    <_Flow_SignoffStatus xmlns="7dd4d6b0-2bd1-40f7-94aa-8d4785e79023" xsi:nil="true"/>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EB60E-9E87-4E21-8612-30C2A1D2F723}">
  <ds:schemaRefs>
    <ds:schemaRef ds:uri="http://schemas.microsoft.com/office/2006/documentManagement/types"/>
    <ds:schemaRef ds:uri="http://www.w3.org/XML/1998/namespace"/>
    <ds:schemaRef ds:uri="7dd4d6b0-2bd1-40f7-94aa-8d4785e79023"/>
    <ds:schemaRef ds:uri="ce5b52f7-9556-48ad-bf4f-1238de82834a"/>
    <ds:schemaRef ds:uri="http://purl.org/dc/dcmityp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FD62A229-2334-4109-95A9-C6468EFFB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54</Pages>
  <Words>13688</Words>
  <Characters>78024</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2023-03-23T21:44:00Z</cp:lastPrinted>
  <dcterms:created xsi:type="dcterms:W3CDTF">2025-06-05T12:52:00Z</dcterms:created>
  <dcterms:modified xsi:type="dcterms:W3CDTF">2025-06-05T12:52:00Z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MediaServiceImageTags">
    <vt:lpwstr/>
  </property>
  <property fmtid="{D5CDD505-2E9C-101B-9397-08002B2CF9AE}" pid="16" name="sepaSiteName">
    <vt:lpwstr/>
  </property>
  <property fmtid="{D5CDD505-2E9C-101B-9397-08002B2CF9AE}" pid="17" name="sepaDocType">
    <vt:lpwstr/>
  </property>
  <property fmtid="{D5CDD505-2E9C-101B-9397-08002B2CF9AE}" pid="18" name="j4a146bd1242497e854fea19bd003ce8">
    <vt:lpwstr/>
  </property>
  <property fmtid="{D5CDD505-2E9C-101B-9397-08002B2CF9AE}" pid="19" name="ef51aa4790c945b9a0419016f7ab6e29">
    <vt:lpwstr/>
  </property>
  <property fmtid="{D5CDD505-2E9C-101B-9397-08002B2CF9AE}" pid="20" name="ma72f8e6ceae418eb78a3347036104c1">
    <vt:lpwstr/>
  </property>
  <property fmtid="{D5CDD505-2E9C-101B-9397-08002B2CF9AE}" pid="21" name="sepaSector">
    <vt:lpwstr/>
  </property>
  <property fmtid="{D5CDD505-2E9C-101B-9397-08002B2CF9AE}" pid="22" name="sepaRegime">
    <vt:lpwstr/>
  </property>
  <property fmtid="{D5CDD505-2E9C-101B-9397-08002B2CF9AE}" pid="23" name="oef38a18042f4301907f28c0522602c2">
    <vt:lpwstr/>
  </property>
  <property fmtid="{D5CDD505-2E9C-101B-9397-08002B2CF9AE}" pid="24" name="ee9e47817d504c689218031fd5e96151">
    <vt:lpwstr/>
  </property>
  <property fmtid="{D5CDD505-2E9C-101B-9397-08002B2CF9AE}" pid="25" name="sepaWaterbody">
    <vt:lpwstr/>
  </property>
  <property fmtid="{D5CDD505-2E9C-101B-9397-08002B2CF9AE}" pid="26" name="ne0f48cd5d0346faa88fbe934056f480">
    <vt:lpwstr/>
  </property>
  <property fmtid="{D5CDD505-2E9C-101B-9397-08002B2CF9AE}" pid="27" name="k30a802c90584b64ac3ae896c6a1ef3a">
    <vt:lpwstr/>
  </property>
  <property fmtid="{D5CDD505-2E9C-101B-9397-08002B2CF9AE}" pid="28" name="sepaLocationCode">
    <vt:lpwstr/>
  </property>
  <property fmtid="{D5CDD505-2E9C-101B-9397-08002B2CF9AE}" pid="29" name="sepaIAODept">
    <vt:lpwstr/>
  </property>
  <property fmtid="{D5CDD505-2E9C-101B-9397-08002B2CF9AE}" pid="30" name="ContentTypeId">
    <vt:lpwstr>0x01010004C80374B95F7240955C67127CD440EB</vt:lpwstr>
  </property>
</Properties>
</file>