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37B76971" w14:textId="6A055DBB" w:rsidR="004073BC" w:rsidRDefault="00F72274" w:rsidP="00D954AD">
          <w:r>
            <w:rPr>
              <w:noProof/>
            </w:rPr>
            <w:drawing>
              <wp:anchor distT="0" distB="0" distL="114300" distR="114300" simplePos="0" relativeHeight="251658241" behindDoc="1" locked="0" layoutInCell="1" allowOverlap="1" wp14:anchorId="38031EFA" wp14:editId="6AC84126">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F7830F7" wp14:editId="60FB256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254EB1F" w14:textId="77777777" w:rsidR="004073BC" w:rsidRDefault="004073BC" w:rsidP="008C1A73"/>
        <w:p w14:paraId="5ECCBA49" w14:textId="77777777" w:rsidR="004073BC" w:rsidRDefault="004073BC" w:rsidP="008C1A73"/>
        <w:p w14:paraId="27C495DF" w14:textId="69E68119" w:rsidR="00F93621" w:rsidRDefault="00F93621" w:rsidP="00F93621">
          <w:pPr>
            <w:pStyle w:val="BodyText1"/>
            <w:spacing w:line="240" w:lineRule="auto"/>
            <w:rPr>
              <w:rFonts w:eastAsia="Times New Roman"/>
              <w:b/>
              <w:color w:val="FFFFFF" w:themeColor="background1"/>
              <w:sz w:val="48"/>
              <w:szCs w:val="48"/>
              <w:lang w:eastAsia="en-GB"/>
            </w:rPr>
          </w:pPr>
          <w:r w:rsidRPr="001B4C45">
            <w:rPr>
              <w:rFonts w:eastAsia="Times New Roman"/>
              <w:b/>
              <w:color w:val="FFFFFF" w:themeColor="background1"/>
              <w:sz w:val="48"/>
              <w:szCs w:val="48"/>
              <w:lang w:eastAsia="en-GB"/>
            </w:rPr>
            <w:t>WAT-G-</w:t>
          </w:r>
          <w:r>
            <w:rPr>
              <w:rFonts w:eastAsia="Times New Roman"/>
              <w:b/>
              <w:color w:val="FFFFFF" w:themeColor="background1"/>
              <w:sz w:val="48"/>
              <w:szCs w:val="48"/>
              <w:lang w:eastAsia="en-GB"/>
            </w:rPr>
            <w:t>065</w:t>
          </w:r>
        </w:p>
        <w:p w14:paraId="6F135AEF" w14:textId="77777777" w:rsidR="004073BC" w:rsidRDefault="004073BC" w:rsidP="008C1A73"/>
        <w:p w14:paraId="5494698D" w14:textId="77777777" w:rsidR="004073BC" w:rsidRDefault="004073BC" w:rsidP="008C1A73"/>
        <w:p w14:paraId="5CA22142" w14:textId="77777777" w:rsidR="004073BC" w:rsidRDefault="004073BC" w:rsidP="008C1A73"/>
        <w:p w14:paraId="258273EC" w14:textId="77777777" w:rsidR="00141594" w:rsidRDefault="00304A3F" w:rsidP="004133B7">
          <w:pPr>
            <w:spacing w:line="240" w:lineRule="auto"/>
            <w:rPr>
              <w:noProof/>
            </w:rPr>
          </w:pPr>
          <w:r>
            <w:rPr>
              <w:b/>
              <w:bCs/>
              <w:color w:val="FFFFFF" w:themeColor="background1"/>
              <w:sz w:val="84"/>
              <w:szCs w:val="84"/>
            </w:rPr>
            <w:t>EASR Guidance:</w:t>
          </w:r>
          <w:r>
            <w:rPr>
              <w:noProof/>
            </w:rPr>
            <w:t xml:space="preserve"> </w:t>
          </w:r>
        </w:p>
        <w:p w14:paraId="2A8EFD91" w14:textId="5676C578" w:rsidR="00141594"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1DD6F108" wp14:editId="291F490B">
                    <wp:simplePos x="0" y="0"/>
                    <wp:positionH relativeFrom="column">
                      <wp:posOffset>124460</wp:posOffset>
                    </wp:positionH>
                    <wp:positionV relativeFrom="paragraph">
                      <wp:posOffset>6103620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C0BE176" w14:textId="62558C8D" w:rsidR="00281BB1" w:rsidRPr="009A240D" w:rsidRDefault="00FE45D6"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6F108" id="_x0000_t202" coordsize="21600,21600" o:spt="202" path="m,l,21600r21600,l21600,xe">
                    <v:stroke joinstyle="miter"/>
                    <v:path gradientshapeok="t" o:connecttype="rect"/>
                  </v:shapetype>
                  <v:shape id="Text Box 3" o:spid="_x0000_s1026" type="#_x0000_t202" alt="&quot;&quot;" style="position:absolute;margin-left:9.8pt;margin-top:480.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" filled="f" stroked="f" strokeweight=".5pt">
                    <v:textbox inset="0,0,0,0">
                      <w:txbxContent>
                        <w:p w14:paraId="0C0BE176" w14:textId="62558C8D" w:rsidR="00281BB1" w:rsidRPr="009A240D" w:rsidRDefault="00FE45D6" w:rsidP="00281BB1">
                          <w:pPr>
                            <w:pStyle w:val="BodyText1"/>
                            <w:rPr>
                              <w:color w:val="FFFFFF" w:themeColor="background1"/>
                            </w:rPr>
                          </w:pPr>
                          <w:r>
                            <w:rPr>
                              <w:color w:val="FFFFFF" w:themeColor="background1"/>
                            </w:rPr>
                            <w:t>Version 1.0, August 2025</w:t>
                          </w:r>
                        </w:p>
                      </w:txbxContent>
                    </v:textbox>
                    <w10:anchorlock/>
                  </v:shape>
                </w:pict>
              </mc:Fallback>
            </mc:AlternateContent>
          </w:r>
          <w:r w:rsidR="00141594" w:rsidRPr="00141594">
            <w:rPr>
              <w:b/>
              <w:bCs/>
              <w:color w:val="FFFFFF" w:themeColor="background1"/>
              <w:sz w:val="84"/>
              <w:szCs w:val="84"/>
            </w:rPr>
            <w:t>Permit Activity:</w:t>
          </w:r>
        </w:p>
        <w:p w14:paraId="632227AF" w14:textId="4AA27BDE" w:rsidR="00801105" w:rsidRDefault="00141594" w:rsidP="004133B7">
          <w:pPr>
            <w:spacing w:line="240" w:lineRule="auto"/>
            <w:rPr>
              <w:b/>
              <w:bCs/>
              <w:color w:val="FFFFFF" w:themeColor="background1"/>
              <w:sz w:val="84"/>
              <w:szCs w:val="84"/>
            </w:rPr>
          </w:pPr>
          <w:r>
            <w:rPr>
              <w:b/>
              <w:bCs/>
              <w:color w:val="FFFFFF" w:themeColor="background1"/>
              <w:sz w:val="84"/>
              <w:szCs w:val="84"/>
            </w:rPr>
            <w:t>M</w:t>
          </w:r>
          <w:r w:rsidR="00FE3B27">
            <w:rPr>
              <w:b/>
              <w:bCs/>
              <w:color w:val="FFFFFF" w:themeColor="background1"/>
              <w:sz w:val="84"/>
              <w:szCs w:val="84"/>
            </w:rPr>
            <w:t>unicip</w:t>
          </w:r>
          <w:r w:rsidR="004E2F58">
            <w:rPr>
              <w:b/>
              <w:bCs/>
              <w:color w:val="FFFFFF" w:themeColor="background1"/>
              <w:sz w:val="84"/>
              <w:szCs w:val="84"/>
            </w:rPr>
            <w:t>a</w:t>
          </w:r>
          <w:r w:rsidR="00FE3B27">
            <w:rPr>
              <w:b/>
              <w:bCs/>
              <w:color w:val="FFFFFF" w:themeColor="background1"/>
              <w:sz w:val="84"/>
              <w:szCs w:val="84"/>
            </w:rPr>
            <w:t xml:space="preserve">l Sewage Treatment Works </w:t>
          </w:r>
        </w:p>
        <w:p w14:paraId="30595F28"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338513185"/>
        <w:docPartObj>
          <w:docPartGallery w:val="Table of Contents"/>
          <w:docPartUnique/>
        </w:docPartObj>
      </w:sdtPr>
      <w:sdtEndPr>
        <w:rPr>
          <w:b/>
          <w:bCs/>
          <w:noProof/>
        </w:rPr>
      </w:sdtEndPr>
      <w:sdtContent>
        <w:p w14:paraId="65287982" w14:textId="62524B11" w:rsidR="00191CFA" w:rsidRPr="00191CFA" w:rsidRDefault="00191CFA">
          <w:pPr>
            <w:pStyle w:val="TOCHeading"/>
            <w:rPr>
              <w:rStyle w:val="Heading1Char"/>
            </w:rPr>
          </w:pPr>
          <w:r w:rsidRPr="00191CFA">
            <w:rPr>
              <w:rStyle w:val="Heading1Char"/>
            </w:rPr>
            <w:t>Contents</w:t>
          </w:r>
        </w:p>
        <w:p w14:paraId="5CC628F5" w14:textId="56868D9D" w:rsidR="00D954AD" w:rsidRDefault="00191CFA">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873831" w:history="1">
            <w:r w:rsidR="00D954AD" w:rsidRPr="000268FD">
              <w:rPr>
                <w:rStyle w:val="Hyperlink"/>
                <w:noProof/>
              </w:rPr>
              <w:t>1 Purpose</w:t>
            </w:r>
            <w:r w:rsidR="00D954AD">
              <w:rPr>
                <w:noProof/>
                <w:webHidden/>
              </w:rPr>
              <w:tab/>
            </w:r>
            <w:r w:rsidR="00D954AD">
              <w:rPr>
                <w:noProof/>
                <w:webHidden/>
              </w:rPr>
              <w:fldChar w:fldCharType="begin"/>
            </w:r>
            <w:r w:rsidR="00D954AD">
              <w:rPr>
                <w:noProof/>
                <w:webHidden/>
              </w:rPr>
              <w:instrText xml:space="preserve"> PAGEREF _Toc193873831 \h </w:instrText>
            </w:r>
            <w:r w:rsidR="00D954AD">
              <w:rPr>
                <w:noProof/>
                <w:webHidden/>
              </w:rPr>
            </w:r>
            <w:r w:rsidR="00D954AD">
              <w:rPr>
                <w:noProof/>
                <w:webHidden/>
              </w:rPr>
              <w:fldChar w:fldCharType="separate"/>
            </w:r>
            <w:r w:rsidR="00D954AD">
              <w:rPr>
                <w:noProof/>
                <w:webHidden/>
              </w:rPr>
              <w:t>4</w:t>
            </w:r>
            <w:r w:rsidR="00D954AD">
              <w:rPr>
                <w:noProof/>
                <w:webHidden/>
              </w:rPr>
              <w:fldChar w:fldCharType="end"/>
            </w:r>
          </w:hyperlink>
        </w:p>
        <w:p w14:paraId="391E274E" w14:textId="505C237A" w:rsidR="00D954AD" w:rsidRDefault="00D954AD">
          <w:pPr>
            <w:pStyle w:val="TOC1"/>
            <w:tabs>
              <w:tab w:val="right" w:leader="dot" w:pos="10212"/>
            </w:tabs>
            <w:rPr>
              <w:noProof/>
              <w:kern w:val="2"/>
              <w:lang w:eastAsia="en-GB"/>
              <w14:ligatures w14:val="standardContextual"/>
            </w:rPr>
          </w:pPr>
          <w:hyperlink w:anchor="_Toc193873832" w:history="1">
            <w:r w:rsidRPr="000268FD">
              <w:rPr>
                <w:rStyle w:val="Hyperlink"/>
                <w:noProof/>
              </w:rPr>
              <w:t>2 Flow Monitoring and Event Recorders</w:t>
            </w:r>
            <w:r>
              <w:rPr>
                <w:noProof/>
                <w:webHidden/>
              </w:rPr>
              <w:tab/>
            </w:r>
            <w:r>
              <w:rPr>
                <w:noProof/>
                <w:webHidden/>
              </w:rPr>
              <w:fldChar w:fldCharType="begin"/>
            </w:r>
            <w:r>
              <w:rPr>
                <w:noProof/>
                <w:webHidden/>
              </w:rPr>
              <w:instrText xml:space="preserve"> PAGEREF _Toc193873832 \h </w:instrText>
            </w:r>
            <w:r>
              <w:rPr>
                <w:noProof/>
                <w:webHidden/>
              </w:rPr>
            </w:r>
            <w:r>
              <w:rPr>
                <w:noProof/>
                <w:webHidden/>
              </w:rPr>
              <w:fldChar w:fldCharType="separate"/>
            </w:r>
            <w:r>
              <w:rPr>
                <w:noProof/>
                <w:webHidden/>
              </w:rPr>
              <w:t>4</w:t>
            </w:r>
            <w:r>
              <w:rPr>
                <w:noProof/>
                <w:webHidden/>
              </w:rPr>
              <w:fldChar w:fldCharType="end"/>
            </w:r>
          </w:hyperlink>
        </w:p>
        <w:p w14:paraId="54D6AF2E" w14:textId="354F9C6A" w:rsidR="00D954AD" w:rsidRDefault="00D954AD">
          <w:pPr>
            <w:pStyle w:val="TOC2"/>
            <w:tabs>
              <w:tab w:val="left" w:pos="960"/>
              <w:tab w:val="right" w:leader="dot" w:pos="10212"/>
            </w:tabs>
            <w:rPr>
              <w:noProof/>
              <w:kern w:val="2"/>
              <w:lang w:eastAsia="en-GB"/>
              <w14:ligatures w14:val="standardContextual"/>
            </w:rPr>
          </w:pPr>
          <w:hyperlink w:anchor="_Toc193873833" w:history="1">
            <w:r w:rsidRPr="000268FD">
              <w:rPr>
                <w:rStyle w:val="Hyperlink"/>
                <w:noProof/>
              </w:rPr>
              <w:t>2.1</w:t>
            </w:r>
            <w:r>
              <w:rPr>
                <w:noProof/>
                <w:kern w:val="2"/>
                <w:lang w:eastAsia="en-GB"/>
                <w14:ligatures w14:val="standardContextual"/>
              </w:rPr>
              <w:tab/>
            </w:r>
            <w:r w:rsidRPr="000268FD">
              <w:rPr>
                <w:rStyle w:val="Hyperlink"/>
                <w:noProof/>
              </w:rPr>
              <w:t>Introduction</w:t>
            </w:r>
            <w:r>
              <w:rPr>
                <w:noProof/>
                <w:webHidden/>
              </w:rPr>
              <w:tab/>
            </w:r>
            <w:r>
              <w:rPr>
                <w:noProof/>
                <w:webHidden/>
              </w:rPr>
              <w:fldChar w:fldCharType="begin"/>
            </w:r>
            <w:r>
              <w:rPr>
                <w:noProof/>
                <w:webHidden/>
              </w:rPr>
              <w:instrText xml:space="preserve"> PAGEREF _Toc193873833 \h </w:instrText>
            </w:r>
            <w:r>
              <w:rPr>
                <w:noProof/>
                <w:webHidden/>
              </w:rPr>
            </w:r>
            <w:r>
              <w:rPr>
                <w:noProof/>
                <w:webHidden/>
              </w:rPr>
              <w:fldChar w:fldCharType="separate"/>
            </w:r>
            <w:r>
              <w:rPr>
                <w:noProof/>
                <w:webHidden/>
              </w:rPr>
              <w:t>4</w:t>
            </w:r>
            <w:r>
              <w:rPr>
                <w:noProof/>
                <w:webHidden/>
              </w:rPr>
              <w:fldChar w:fldCharType="end"/>
            </w:r>
          </w:hyperlink>
        </w:p>
        <w:p w14:paraId="4B0B5B5D" w14:textId="23FC68DA" w:rsidR="00D954AD" w:rsidRDefault="00D954AD">
          <w:pPr>
            <w:pStyle w:val="TOC3"/>
            <w:tabs>
              <w:tab w:val="right" w:leader="dot" w:pos="10212"/>
            </w:tabs>
            <w:rPr>
              <w:noProof/>
              <w:kern w:val="2"/>
              <w:lang w:eastAsia="en-GB"/>
              <w14:ligatures w14:val="standardContextual"/>
            </w:rPr>
          </w:pPr>
          <w:hyperlink w:anchor="_Toc193873834" w:history="1">
            <w:r w:rsidRPr="000268FD">
              <w:rPr>
                <w:rStyle w:val="Hyperlink"/>
                <w:noProof/>
              </w:rPr>
              <w:t>2.1.1 Formula A flows</w:t>
            </w:r>
            <w:r>
              <w:rPr>
                <w:noProof/>
                <w:webHidden/>
              </w:rPr>
              <w:tab/>
            </w:r>
            <w:r>
              <w:rPr>
                <w:noProof/>
                <w:webHidden/>
              </w:rPr>
              <w:fldChar w:fldCharType="begin"/>
            </w:r>
            <w:r>
              <w:rPr>
                <w:noProof/>
                <w:webHidden/>
              </w:rPr>
              <w:instrText xml:space="preserve"> PAGEREF _Toc193873834 \h </w:instrText>
            </w:r>
            <w:r>
              <w:rPr>
                <w:noProof/>
                <w:webHidden/>
              </w:rPr>
            </w:r>
            <w:r>
              <w:rPr>
                <w:noProof/>
                <w:webHidden/>
              </w:rPr>
              <w:fldChar w:fldCharType="separate"/>
            </w:r>
            <w:r>
              <w:rPr>
                <w:noProof/>
                <w:webHidden/>
              </w:rPr>
              <w:t>5</w:t>
            </w:r>
            <w:r>
              <w:rPr>
                <w:noProof/>
                <w:webHidden/>
              </w:rPr>
              <w:fldChar w:fldCharType="end"/>
            </w:r>
          </w:hyperlink>
        </w:p>
        <w:p w14:paraId="0DBCEEF5" w14:textId="5612066E" w:rsidR="00D954AD" w:rsidRDefault="00D954AD">
          <w:pPr>
            <w:pStyle w:val="TOC3"/>
            <w:tabs>
              <w:tab w:val="right" w:leader="dot" w:pos="10212"/>
            </w:tabs>
            <w:rPr>
              <w:noProof/>
              <w:kern w:val="2"/>
              <w:lang w:eastAsia="en-GB"/>
              <w14:ligatures w14:val="standardContextual"/>
            </w:rPr>
          </w:pPr>
          <w:hyperlink w:anchor="_Toc193873835" w:history="1">
            <w:r w:rsidRPr="000268FD">
              <w:rPr>
                <w:rStyle w:val="Hyperlink"/>
                <w:noProof/>
              </w:rPr>
              <w:t>2.1.2 Treatment works flows</w:t>
            </w:r>
            <w:r>
              <w:rPr>
                <w:noProof/>
                <w:webHidden/>
              </w:rPr>
              <w:tab/>
            </w:r>
            <w:r>
              <w:rPr>
                <w:noProof/>
                <w:webHidden/>
              </w:rPr>
              <w:fldChar w:fldCharType="begin"/>
            </w:r>
            <w:r>
              <w:rPr>
                <w:noProof/>
                <w:webHidden/>
              </w:rPr>
              <w:instrText xml:space="preserve"> PAGEREF _Toc193873835 \h </w:instrText>
            </w:r>
            <w:r>
              <w:rPr>
                <w:noProof/>
                <w:webHidden/>
              </w:rPr>
            </w:r>
            <w:r>
              <w:rPr>
                <w:noProof/>
                <w:webHidden/>
              </w:rPr>
              <w:fldChar w:fldCharType="separate"/>
            </w:r>
            <w:r>
              <w:rPr>
                <w:noProof/>
                <w:webHidden/>
              </w:rPr>
              <w:t>5</w:t>
            </w:r>
            <w:r>
              <w:rPr>
                <w:noProof/>
                <w:webHidden/>
              </w:rPr>
              <w:fldChar w:fldCharType="end"/>
            </w:r>
          </w:hyperlink>
        </w:p>
        <w:p w14:paraId="2427DD42" w14:textId="5E42C12F" w:rsidR="00D954AD" w:rsidRDefault="00D954AD">
          <w:pPr>
            <w:pStyle w:val="TOC3"/>
            <w:tabs>
              <w:tab w:val="left" w:pos="1440"/>
              <w:tab w:val="right" w:leader="dot" w:pos="10212"/>
            </w:tabs>
            <w:rPr>
              <w:noProof/>
              <w:kern w:val="2"/>
              <w:lang w:eastAsia="en-GB"/>
              <w14:ligatures w14:val="standardContextual"/>
            </w:rPr>
          </w:pPr>
          <w:hyperlink w:anchor="_Toc193873836" w:history="1">
            <w:r w:rsidRPr="000268FD">
              <w:rPr>
                <w:rStyle w:val="Hyperlink"/>
                <w:noProof/>
              </w:rPr>
              <w:t>2.1.3</w:t>
            </w:r>
            <w:r>
              <w:rPr>
                <w:noProof/>
                <w:kern w:val="2"/>
                <w:lang w:eastAsia="en-GB"/>
                <w14:ligatures w14:val="standardContextual"/>
              </w:rPr>
              <w:tab/>
            </w:r>
            <w:r w:rsidRPr="000268FD">
              <w:rPr>
                <w:rStyle w:val="Hyperlink"/>
                <w:noProof/>
              </w:rPr>
              <w:t>Dry Weather Flow (DWF)</w:t>
            </w:r>
            <w:r>
              <w:rPr>
                <w:noProof/>
                <w:webHidden/>
              </w:rPr>
              <w:tab/>
            </w:r>
            <w:r>
              <w:rPr>
                <w:noProof/>
                <w:webHidden/>
              </w:rPr>
              <w:fldChar w:fldCharType="begin"/>
            </w:r>
            <w:r>
              <w:rPr>
                <w:noProof/>
                <w:webHidden/>
              </w:rPr>
              <w:instrText xml:space="preserve"> PAGEREF _Toc193873836 \h </w:instrText>
            </w:r>
            <w:r>
              <w:rPr>
                <w:noProof/>
                <w:webHidden/>
              </w:rPr>
            </w:r>
            <w:r>
              <w:rPr>
                <w:noProof/>
                <w:webHidden/>
              </w:rPr>
              <w:fldChar w:fldCharType="separate"/>
            </w:r>
            <w:r>
              <w:rPr>
                <w:noProof/>
                <w:webHidden/>
              </w:rPr>
              <w:t>5</w:t>
            </w:r>
            <w:r>
              <w:rPr>
                <w:noProof/>
                <w:webHidden/>
              </w:rPr>
              <w:fldChar w:fldCharType="end"/>
            </w:r>
          </w:hyperlink>
        </w:p>
        <w:p w14:paraId="286005EB" w14:textId="2427FF47" w:rsidR="00D954AD" w:rsidRDefault="00D954AD">
          <w:pPr>
            <w:pStyle w:val="TOC3"/>
            <w:tabs>
              <w:tab w:val="right" w:leader="dot" w:pos="10212"/>
            </w:tabs>
            <w:rPr>
              <w:noProof/>
              <w:kern w:val="2"/>
              <w:lang w:eastAsia="en-GB"/>
              <w14:ligatures w14:val="standardContextual"/>
            </w:rPr>
          </w:pPr>
          <w:hyperlink w:anchor="_Toc193873837" w:history="1">
            <w:r w:rsidRPr="000268FD">
              <w:rPr>
                <w:rStyle w:val="Hyperlink"/>
                <w:noProof/>
              </w:rPr>
              <w:t>2.1.4 Overflow settings</w:t>
            </w:r>
            <w:r>
              <w:rPr>
                <w:noProof/>
                <w:webHidden/>
              </w:rPr>
              <w:tab/>
            </w:r>
            <w:r>
              <w:rPr>
                <w:noProof/>
                <w:webHidden/>
              </w:rPr>
              <w:fldChar w:fldCharType="begin"/>
            </w:r>
            <w:r>
              <w:rPr>
                <w:noProof/>
                <w:webHidden/>
              </w:rPr>
              <w:instrText xml:space="preserve"> PAGEREF _Toc193873837 \h </w:instrText>
            </w:r>
            <w:r>
              <w:rPr>
                <w:noProof/>
                <w:webHidden/>
              </w:rPr>
            </w:r>
            <w:r>
              <w:rPr>
                <w:noProof/>
                <w:webHidden/>
              </w:rPr>
              <w:fldChar w:fldCharType="separate"/>
            </w:r>
            <w:r>
              <w:rPr>
                <w:noProof/>
                <w:webHidden/>
              </w:rPr>
              <w:t>5</w:t>
            </w:r>
            <w:r>
              <w:rPr>
                <w:noProof/>
                <w:webHidden/>
              </w:rPr>
              <w:fldChar w:fldCharType="end"/>
            </w:r>
          </w:hyperlink>
        </w:p>
        <w:p w14:paraId="06CFD327" w14:textId="4E97CF61" w:rsidR="00D954AD" w:rsidRDefault="00D954AD">
          <w:pPr>
            <w:pStyle w:val="TOC3"/>
            <w:tabs>
              <w:tab w:val="right" w:leader="dot" w:pos="10212"/>
            </w:tabs>
            <w:rPr>
              <w:noProof/>
              <w:kern w:val="2"/>
              <w:lang w:eastAsia="en-GB"/>
              <w14:ligatures w14:val="standardContextual"/>
            </w:rPr>
          </w:pPr>
          <w:hyperlink w:anchor="_Toc193873838" w:history="1">
            <w:r w:rsidRPr="000268FD">
              <w:rPr>
                <w:rStyle w:val="Hyperlink"/>
                <w:noProof/>
              </w:rPr>
              <w:t>2.1.5 Final effluent mean flow</w:t>
            </w:r>
            <w:r>
              <w:rPr>
                <w:noProof/>
                <w:webHidden/>
              </w:rPr>
              <w:tab/>
            </w:r>
            <w:r>
              <w:rPr>
                <w:noProof/>
                <w:webHidden/>
              </w:rPr>
              <w:fldChar w:fldCharType="begin"/>
            </w:r>
            <w:r>
              <w:rPr>
                <w:noProof/>
                <w:webHidden/>
              </w:rPr>
              <w:instrText xml:space="preserve"> PAGEREF _Toc193873838 \h </w:instrText>
            </w:r>
            <w:r>
              <w:rPr>
                <w:noProof/>
                <w:webHidden/>
              </w:rPr>
            </w:r>
            <w:r>
              <w:rPr>
                <w:noProof/>
                <w:webHidden/>
              </w:rPr>
              <w:fldChar w:fldCharType="separate"/>
            </w:r>
            <w:r>
              <w:rPr>
                <w:noProof/>
                <w:webHidden/>
              </w:rPr>
              <w:t>5</w:t>
            </w:r>
            <w:r>
              <w:rPr>
                <w:noProof/>
                <w:webHidden/>
              </w:rPr>
              <w:fldChar w:fldCharType="end"/>
            </w:r>
          </w:hyperlink>
        </w:p>
        <w:p w14:paraId="6DE43D48" w14:textId="55C7001A" w:rsidR="00D954AD" w:rsidRDefault="00D954AD">
          <w:pPr>
            <w:pStyle w:val="TOC3"/>
            <w:tabs>
              <w:tab w:val="right" w:leader="dot" w:pos="10212"/>
            </w:tabs>
            <w:rPr>
              <w:noProof/>
              <w:kern w:val="2"/>
              <w:lang w:eastAsia="en-GB"/>
              <w14:ligatures w14:val="standardContextual"/>
            </w:rPr>
          </w:pPr>
          <w:hyperlink w:anchor="_Toc193873839" w:history="1">
            <w:r w:rsidRPr="000268FD">
              <w:rPr>
                <w:rStyle w:val="Hyperlink"/>
                <w:noProof/>
              </w:rPr>
              <w:t>2.1.6 Event recorders</w:t>
            </w:r>
            <w:r>
              <w:rPr>
                <w:noProof/>
                <w:webHidden/>
              </w:rPr>
              <w:tab/>
            </w:r>
            <w:r>
              <w:rPr>
                <w:noProof/>
                <w:webHidden/>
              </w:rPr>
              <w:fldChar w:fldCharType="begin"/>
            </w:r>
            <w:r>
              <w:rPr>
                <w:noProof/>
                <w:webHidden/>
              </w:rPr>
              <w:instrText xml:space="preserve"> PAGEREF _Toc193873839 \h </w:instrText>
            </w:r>
            <w:r>
              <w:rPr>
                <w:noProof/>
                <w:webHidden/>
              </w:rPr>
            </w:r>
            <w:r>
              <w:rPr>
                <w:noProof/>
                <w:webHidden/>
              </w:rPr>
              <w:fldChar w:fldCharType="separate"/>
            </w:r>
            <w:r>
              <w:rPr>
                <w:noProof/>
                <w:webHidden/>
              </w:rPr>
              <w:t>6</w:t>
            </w:r>
            <w:r>
              <w:rPr>
                <w:noProof/>
                <w:webHidden/>
              </w:rPr>
              <w:fldChar w:fldCharType="end"/>
            </w:r>
          </w:hyperlink>
        </w:p>
        <w:p w14:paraId="680FE33F" w14:textId="0CB834BD" w:rsidR="00D954AD" w:rsidRDefault="00D954AD">
          <w:pPr>
            <w:pStyle w:val="TOC2"/>
            <w:tabs>
              <w:tab w:val="left" w:pos="960"/>
              <w:tab w:val="right" w:leader="dot" w:pos="10212"/>
            </w:tabs>
            <w:rPr>
              <w:noProof/>
              <w:kern w:val="2"/>
              <w:lang w:eastAsia="en-GB"/>
              <w14:ligatures w14:val="standardContextual"/>
            </w:rPr>
          </w:pPr>
          <w:hyperlink w:anchor="_Toc193873840" w:history="1">
            <w:r w:rsidRPr="000268FD">
              <w:rPr>
                <w:rStyle w:val="Hyperlink"/>
                <w:noProof/>
              </w:rPr>
              <w:t xml:space="preserve">2.2 </w:t>
            </w:r>
            <w:r>
              <w:rPr>
                <w:noProof/>
                <w:kern w:val="2"/>
                <w:lang w:eastAsia="en-GB"/>
                <w14:ligatures w14:val="standardContextual"/>
              </w:rPr>
              <w:tab/>
            </w:r>
            <w:r w:rsidRPr="000268FD">
              <w:rPr>
                <w:rStyle w:val="Hyperlink"/>
                <w:noProof/>
              </w:rPr>
              <w:t>Facilities for STWs serving more than 2000 p.e.</w:t>
            </w:r>
            <w:r>
              <w:rPr>
                <w:noProof/>
                <w:webHidden/>
              </w:rPr>
              <w:tab/>
            </w:r>
            <w:r>
              <w:rPr>
                <w:noProof/>
                <w:webHidden/>
              </w:rPr>
              <w:fldChar w:fldCharType="begin"/>
            </w:r>
            <w:r>
              <w:rPr>
                <w:noProof/>
                <w:webHidden/>
              </w:rPr>
              <w:instrText xml:space="preserve"> PAGEREF _Toc193873840 \h </w:instrText>
            </w:r>
            <w:r>
              <w:rPr>
                <w:noProof/>
                <w:webHidden/>
              </w:rPr>
            </w:r>
            <w:r>
              <w:rPr>
                <w:noProof/>
                <w:webHidden/>
              </w:rPr>
              <w:fldChar w:fldCharType="separate"/>
            </w:r>
            <w:r>
              <w:rPr>
                <w:noProof/>
                <w:webHidden/>
              </w:rPr>
              <w:t>9</w:t>
            </w:r>
            <w:r>
              <w:rPr>
                <w:noProof/>
                <w:webHidden/>
              </w:rPr>
              <w:fldChar w:fldCharType="end"/>
            </w:r>
          </w:hyperlink>
        </w:p>
        <w:p w14:paraId="448DDDE6" w14:textId="5F9FA0F5" w:rsidR="00D954AD" w:rsidRDefault="00D954AD">
          <w:pPr>
            <w:pStyle w:val="TOC2"/>
            <w:tabs>
              <w:tab w:val="left" w:pos="960"/>
              <w:tab w:val="right" w:leader="dot" w:pos="10212"/>
            </w:tabs>
            <w:rPr>
              <w:noProof/>
              <w:kern w:val="2"/>
              <w:lang w:eastAsia="en-GB"/>
              <w14:ligatures w14:val="standardContextual"/>
            </w:rPr>
          </w:pPr>
          <w:hyperlink w:anchor="_Toc193873841" w:history="1">
            <w:r w:rsidRPr="000268FD">
              <w:rPr>
                <w:rStyle w:val="Hyperlink"/>
                <w:noProof/>
              </w:rPr>
              <w:t>2.3</w:t>
            </w:r>
            <w:r>
              <w:rPr>
                <w:noProof/>
                <w:kern w:val="2"/>
                <w:lang w:eastAsia="en-GB"/>
                <w14:ligatures w14:val="standardContextual"/>
              </w:rPr>
              <w:tab/>
            </w:r>
            <w:r w:rsidRPr="000268FD">
              <w:rPr>
                <w:rStyle w:val="Hyperlink"/>
                <w:noProof/>
              </w:rPr>
              <w:t>Facilities for STW serving less than 2000 p.e.</w:t>
            </w:r>
            <w:r>
              <w:rPr>
                <w:noProof/>
                <w:webHidden/>
              </w:rPr>
              <w:tab/>
            </w:r>
            <w:r>
              <w:rPr>
                <w:noProof/>
                <w:webHidden/>
              </w:rPr>
              <w:fldChar w:fldCharType="begin"/>
            </w:r>
            <w:r>
              <w:rPr>
                <w:noProof/>
                <w:webHidden/>
              </w:rPr>
              <w:instrText xml:space="preserve"> PAGEREF _Toc193873841 \h </w:instrText>
            </w:r>
            <w:r>
              <w:rPr>
                <w:noProof/>
                <w:webHidden/>
              </w:rPr>
            </w:r>
            <w:r>
              <w:rPr>
                <w:noProof/>
                <w:webHidden/>
              </w:rPr>
              <w:fldChar w:fldCharType="separate"/>
            </w:r>
            <w:r>
              <w:rPr>
                <w:noProof/>
                <w:webHidden/>
              </w:rPr>
              <w:t>10</w:t>
            </w:r>
            <w:r>
              <w:rPr>
                <w:noProof/>
                <w:webHidden/>
              </w:rPr>
              <w:fldChar w:fldCharType="end"/>
            </w:r>
          </w:hyperlink>
        </w:p>
        <w:p w14:paraId="11869D9E" w14:textId="158F5779" w:rsidR="00D954AD" w:rsidRDefault="00D954AD">
          <w:pPr>
            <w:pStyle w:val="TOC2"/>
            <w:tabs>
              <w:tab w:val="left" w:pos="960"/>
              <w:tab w:val="right" w:leader="dot" w:pos="10212"/>
            </w:tabs>
            <w:rPr>
              <w:noProof/>
              <w:kern w:val="2"/>
              <w:lang w:eastAsia="en-GB"/>
              <w14:ligatures w14:val="standardContextual"/>
            </w:rPr>
          </w:pPr>
          <w:hyperlink w:anchor="_Toc193873842" w:history="1">
            <w:r w:rsidRPr="000268FD">
              <w:rPr>
                <w:rStyle w:val="Hyperlink"/>
                <w:noProof/>
              </w:rPr>
              <w:t>2.4</w:t>
            </w:r>
            <w:r>
              <w:rPr>
                <w:noProof/>
                <w:kern w:val="2"/>
                <w:lang w:eastAsia="en-GB"/>
                <w14:ligatures w14:val="standardContextual"/>
              </w:rPr>
              <w:tab/>
            </w:r>
            <w:r w:rsidRPr="000268FD">
              <w:rPr>
                <w:rStyle w:val="Hyperlink"/>
                <w:noProof/>
              </w:rPr>
              <w:t>Sewage pumping stations with storm/emergency overflows</w:t>
            </w:r>
            <w:r>
              <w:rPr>
                <w:noProof/>
                <w:webHidden/>
              </w:rPr>
              <w:tab/>
            </w:r>
            <w:r>
              <w:rPr>
                <w:noProof/>
                <w:webHidden/>
              </w:rPr>
              <w:fldChar w:fldCharType="begin"/>
            </w:r>
            <w:r>
              <w:rPr>
                <w:noProof/>
                <w:webHidden/>
              </w:rPr>
              <w:instrText xml:space="preserve"> PAGEREF _Toc193873842 \h </w:instrText>
            </w:r>
            <w:r>
              <w:rPr>
                <w:noProof/>
                <w:webHidden/>
              </w:rPr>
            </w:r>
            <w:r>
              <w:rPr>
                <w:noProof/>
                <w:webHidden/>
              </w:rPr>
              <w:fldChar w:fldCharType="separate"/>
            </w:r>
            <w:r>
              <w:rPr>
                <w:noProof/>
                <w:webHidden/>
              </w:rPr>
              <w:t>10</w:t>
            </w:r>
            <w:r>
              <w:rPr>
                <w:noProof/>
                <w:webHidden/>
              </w:rPr>
              <w:fldChar w:fldCharType="end"/>
            </w:r>
          </w:hyperlink>
        </w:p>
        <w:p w14:paraId="745980CD" w14:textId="7D9506FB" w:rsidR="00D954AD" w:rsidRDefault="00D954AD">
          <w:pPr>
            <w:pStyle w:val="TOC2"/>
            <w:tabs>
              <w:tab w:val="left" w:pos="960"/>
              <w:tab w:val="right" w:leader="dot" w:pos="10212"/>
            </w:tabs>
            <w:rPr>
              <w:noProof/>
              <w:kern w:val="2"/>
              <w:lang w:eastAsia="en-GB"/>
              <w14:ligatures w14:val="standardContextual"/>
            </w:rPr>
          </w:pPr>
          <w:hyperlink w:anchor="_Toc193873843" w:history="1">
            <w:r w:rsidRPr="000268FD">
              <w:rPr>
                <w:rStyle w:val="Hyperlink"/>
                <w:noProof/>
              </w:rPr>
              <w:t>2.5</w:t>
            </w:r>
            <w:r>
              <w:rPr>
                <w:noProof/>
                <w:kern w:val="2"/>
                <w:lang w:eastAsia="en-GB"/>
                <w14:ligatures w14:val="standardContextual"/>
              </w:rPr>
              <w:tab/>
            </w:r>
            <w:r w:rsidRPr="000268FD">
              <w:rPr>
                <w:rStyle w:val="Hyperlink"/>
                <w:noProof/>
              </w:rPr>
              <w:t>Recording</w:t>
            </w:r>
            <w:r>
              <w:rPr>
                <w:noProof/>
                <w:webHidden/>
              </w:rPr>
              <w:tab/>
            </w:r>
            <w:r>
              <w:rPr>
                <w:noProof/>
                <w:webHidden/>
              </w:rPr>
              <w:fldChar w:fldCharType="begin"/>
            </w:r>
            <w:r>
              <w:rPr>
                <w:noProof/>
                <w:webHidden/>
              </w:rPr>
              <w:instrText xml:space="preserve"> PAGEREF _Toc193873843 \h </w:instrText>
            </w:r>
            <w:r>
              <w:rPr>
                <w:noProof/>
                <w:webHidden/>
              </w:rPr>
            </w:r>
            <w:r>
              <w:rPr>
                <w:noProof/>
                <w:webHidden/>
              </w:rPr>
              <w:fldChar w:fldCharType="separate"/>
            </w:r>
            <w:r>
              <w:rPr>
                <w:noProof/>
                <w:webHidden/>
              </w:rPr>
              <w:t>10</w:t>
            </w:r>
            <w:r>
              <w:rPr>
                <w:noProof/>
                <w:webHidden/>
              </w:rPr>
              <w:fldChar w:fldCharType="end"/>
            </w:r>
          </w:hyperlink>
        </w:p>
        <w:p w14:paraId="28AF207A" w14:textId="4CB28F33" w:rsidR="00D954AD" w:rsidRDefault="00D954AD">
          <w:pPr>
            <w:pStyle w:val="TOC2"/>
            <w:tabs>
              <w:tab w:val="left" w:pos="960"/>
              <w:tab w:val="right" w:leader="dot" w:pos="10212"/>
            </w:tabs>
            <w:rPr>
              <w:noProof/>
              <w:kern w:val="2"/>
              <w:lang w:eastAsia="en-GB"/>
              <w14:ligatures w14:val="standardContextual"/>
            </w:rPr>
          </w:pPr>
          <w:hyperlink w:anchor="_Toc193873844" w:history="1">
            <w:r w:rsidRPr="000268FD">
              <w:rPr>
                <w:rStyle w:val="Hyperlink"/>
                <w:noProof/>
              </w:rPr>
              <w:t>2.6</w:t>
            </w:r>
            <w:r>
              <w:rPr>
                <w:noProof/>
                <w:kern w:val="2"/>
                <w:lang w:eastAsia="en-GB"/>
                <w14:ligatures w14:val="standardContextual"/>
              </w:rPr>
              <w:tab/>
            </w:r>
            <w:r w:rsidRPr="000268FD">
              <w:rPr>
                <w:rStyle w:val="Hyperlink"/>
                <w:noProof/>
              </w:rPr>
              <w:t>Compliance Inspections</w:t>
            </w:r>
            <w:r>
              <w:rPr>
                <w:noProof/>
                <w:webHidden/>
              </w:rPr>
              <w:tab/>
            </w:r>
            <w:r>
              <w:rPr>
                <w:noProof/>
                <w:webHidden/>
              </w:rPr>
              <w:fldChar w:fldCharType="begin"/>
            </w:r>
            <w:r>
              <w:rPr>
                <w:noProof/>
                <w:webHidden/>
              </w:rPr>
              <w:instrText xml:space="preserve"> PAGEREF _Toc193873844 \h </w:instrText>
            </w:r>
            <w:r>
              <w:rPr>
                <w:noProof/>
                <w:webHidden/>
              </w:rPr>
            </w:r>
            <w:r>
              <w:rPr>
                <w:noProof/>
                <w:webHidden/>
              </w:rPr>
              <w:fldChar w:fldCharType="separate"/>
            </w:r>
            <w:r>
              <w:rPr>
                <w:noProof/>
                <w:webHidden/>
              </w:rPr>
              <w:t>11</w:t>
            </w:r>
            <w:r>
              <w:rPr>
                <w:noProof/>
                <w:webHidden/>
              </w:rPr>
              <w:fldChar w:fldCharType="end"/>
            </w:r>
          </w:hyperlink>
        </w:p>
        <w:p w14:paraId="617DA04A" w14:textId="7F421664" w:rsidR="00D954AD" w:rsidRDefault="00D954AD">
          <w:pPr>
            <w:pStyle w:val="TOC2"/>
            <w:tabs>
              <w:tab w:val="left" w:pos="960"/>
              <w:tab w:val="right" w:leader="dot" w:pos="10212"/>
            </w:tabs>
            <w:rPr>
              <w:noProof/>
              <w:kern w:val="2"/>
              <w:lang w:eastAsia="en-GB"/>
              <w14:ligatures w14:val="standardContextual"/>
            </w:rPr>
          </w:pPr>
          <w:hyperlink w:anchor="_Toc193873845" w:history="1">
            <w:r w:rsidRPr="000268FD">
              <w:rPr>
                <w:rStyle w:val="Hyperlink"/>
                <w:noProof/>
              </w:rPr>
              <w:t>2.7</w:t>
            </w:r>
            <w:r>
              <w:rPr>
                <w:noProof/>
                <w:kern w:val="2"/>
                <w:lang w:eastAsia="en-GB"/>
                <w14:ligatures w14:val="standardContextual"/>
              </w:rPr>
              <w:tab/>
            </w:r>
            <w:r w:rsidRPr="000268FD">
              <w:rPr>
                <w:rStyle w:val="Hyperlink"/>
                <w:noProof/>
              </w:rPr>
              <w:t>Reporting</w:t>
            </w:r>
            <w:r>
              <w:rPr>
                <w:noProof/>
                <w:webHidden/>
              </w:rPr>
              <w:tab/>
            </w:r>
            <w:r>
              <w:rPr>
                <w:noProof/>
                <w:webHidden/>
              </w:rPr>
              <w:fldChar w:fldCharType="begin"/>
            </w:r>
            <w:r>
              <w:rPr>
                <w:noProof/>
                <w:webHidden/>
              </w:rPr>
              <w:instrText xml:space="preserve"> PAGEREF _Toc193873845 \h </w:instrText>
            </w:r>
            <w:r>
              <w:rPr>
                <w:noProof/>
                <w:webHidden/>
              </w:rPr>
            </w:r>
            <w:r>
              <w:rPr>
                <w:noProof/>
                <w:webHidden/>
              </w:rPr>
              <w:fldChar w:fldCharType="separate"/>
            </w:r>
            <w:r>
              <w:rPr>
                <w:noProof/>
                <w:webHidden/>
              </w:rPr>
              <w:t>11</w:t>
            </w:r>
            <w:r>
              <w:rPr>
                <w:noProof/>
                <w:webHidden/>
              </w:rPr>
              <w:fldChar w:fldCharType="end"/>
            </w:r>
          </w:hyperlink>
        </w:p>
        <w:p w14:paraId="2B7B2B06" w14:textId="5C6E16D0" w:rsidR="00D954AD" w:rsidRDefault="00D954AD">
          <w:pPr>
            <w:pStyle w:val="TOC1"/>
            <w:tabs>
              <w:tab w:val="left" w:pos="480"/>
              <w:tab w:val="right" w:leader="dot" w:pos="10212"/>
            </w:tabs>
            <w:rPr>
              <w:noProof/>
              <w:kern w:val="2"/>
              <w:lang w:eastAsia="en-GB"/>
              <w14:ligatures w14:val="standardContextual"/>
            </w:rPr>
          </w:pPr>
          <w:hyperlink w:anchor="_Toc193873846" w:history="1">
            <w:r w:rsidRPr="000268FD">
              <w:rPr>
                <w:rStyle w:val="Hyperlink"/>
                <w:noProof/>
              </w:rPr>
              <w:t>3.</w:t>
            </w:r>
            <w:r>
              <w:rPr>
                <w:noProof/>
                <w:kern w:val="2"/>
                <w:lang w:eastAsia="en-GB"/>
                <w14:ligatures w14:val="standardContextual"/>
              </w:rPr>
              <w:tab/>
            </w:r>
            <w:r w:rsidRPr="000268FD">
              <w:rPr>
                <w:rStyle w:val="Hyperlink"/>
                <w:noProof/>
              </w:rPr>
              <w:t>Population equivalent, dry weather flow and design flows</w:t>
            </w:r>
            <w:r>
              <w:rPr>
                <w:noProof/>
                <w:webHidden/>
              </w:rPr>
              <w:tab/>
            </w:r>
            <w:r>
              <w:rPr>
                <w:noProof/>
                <w:webHidden/>
              </w:rPr>
              <w:fldChar w:fldCharType="begin"/>
            </w:r>
            <w:r>
              <w:rPr>
                <w:noProof/>
                <w:webHidden/>
              </w:rPr>
              <w:instrText xml:space="preserve"> PAGEREF _Toc193873846 \h </w:instrText>
            </w:r>
            <w:r>
              <w:rPr>
                <w:noProof/>
                <w:webHidden/>
              </w:rPr>
            </w:r>
            <w:r>
              <w:rPr>
                <w:noProof/>
                <w:webHidden/>
              </w:rPr>
              <w:fldChar w:fldCharType="separate"/>
            </w:r>
            <w:r>
              <w:rPr>
                <w:noProof/>
                <w:webHidden/>
              </w:rPr>
              <w:t>12</w:t>
            </w:r>
            <w:r>
              <w:rPr>
                <w:noProof/>
                <w:webHidden/>
              </w:rPr>
              <w:fldChar w:fldCharType="end"/>
            </w:r>
          </w:hyperlink>
        </w:p>
        <w:p w14:paraId="2F2E4D7D" w14:textId="6A6B99D7" w:rsidR="00D954AD" w:rsidRDefault="00D954AD">
          <w:pPr>
            <w:pStyle w:val="TOC2"/>
            <w:tabs>
              <w:tab w:val="left" w:pos="960"/>
              <w:tab w:val="right" w:leader="dot" w:pos="10212"/>
            </w:tabs>
            <w:rPr>
              <w:noProof/>
              <w:kern w:val="2"/>
              <w:lang w:eastAsia="en-GB"/>
              <w14:ligatures w14:val="standardContextual"/>
            </w:rPr>
          </w:pPr>
          <w:hyperlink w:anchor="_Toc193873847" w:history="1">
            <w:r w:rsidRPr="000268FD">
              <w:rPr>
                <w:rStyle w:val="Hyperlink"/>
                <w:noProof/>
              </w:rPr>
              <w:t>3.1</w:t>
            </w:r>
            <w:r>
              <w:rPr>
                <w:noProof/>
                <w:kern w:val="2"/>
                <w:lang w:eastAsia="en-GB"/>
                <w14:ligatures w14:val="standardContextual"/>
              </w:rPr>
              <w:tab/>
            </w:r>
            <w:r w:rsidRPr="000268FD">
              <w:rPr>
                <w:rStyle w:val="Hyperlink"/>
                <w:noProof/>
              </w:rPr>
              <w:t>Population equivalent</w:t>
            </w:r>
            <w:r>
              <w:rPr>
                <w:noProof/>
                <w:webHidden/>
              </w:rPr>
              <w:tab/>
            </w:r>
            <w:r>
              <w:rPr>
                <w:noProof/>
                <w:webHidden/>
              </w:rPr>
              <w:fldChar w:fldCharType="begin"/>
            </w:r>
            <w:r>
              <w:rPr>
                <w:noProof/>
                <w:webHidden/>
              </w:rPr>
              <w:instrText xml:space="preserve"> PAGEREF _Toc193873847 \h </w:instrText>
            </w:r>
            <w:r>
              <w:rPr>
                <w:noProof/>
                <w:webHidden/>
              </w:rPr>
            </w:r>
            <w:r>
              <w:rPr>
                <w:noProof/>
                <w:webHidden/>
              </w:rPr>
              <w:fldChar w:fldCharType="separate"/>
            </w:r>
            <w:r>
              <w:rPr>
                <w:noProof/>
                <w:webHidden/>
              </w:rPr>
              <w:t>12</w:t>
            </w:r>
            <w:r>
              <w:rPr>
                <w:noProof/>
                <w:webHidden/>
              </w:rPr>
              <w:fldChar w:fldCharType="end"/>
            </w:r>
          </w:hyperlink>
        </w:p>
        <w:p w14:paraId="1E5F72C1" w14:textId="5848DC4F" w:rsidR="00D954AD" w:rsidRDefault="00D954AD">
          <w:pPr>
            <w:pStyle w:val="TOC2"/>
            <w:tabs>
              <w:tab w:val="left" w:pos="960"/>
              <w:tab w:val="right" w:leader="dot" w:pos="10212"/>
            </w:tabs>
            <w:rPr>
              <w:noProof/>
              <w:kern w:val="2"/>
              <w:lang w:eastAsia="en-GB"/>
              <w14:ligatures w14:val="standardContextual"/>
            </w:rPr>
          </w:pPr>
          <w:hyperlink w:anchor="_Toc193873848" w:history="1">
            <w:r w:rsidRPr="000268FD">
              <w:rPr>
                <w:rStyle w:val="Hyperlink"/>
                <w:noProof/>
              </w:rPr>
              <w:t>3.2</w:t>
            </w:r>
            <w:r>
              <w:rPr>
                <w:noProof/>
                <w:kern w:val="2"/>
                <w:lang w:eastAsia="en-GB"/>
                <w14:ligatures w14:val="standardContextual"/>
              </w:rPr>
              <w:tab/>
            </w:r>
            <w:r w:rsidRPr="000268FD">
              <w:rPr>
                <w:rStyle w:val="Hyperlink"/>
                <w:noProof/>
              </w:rPr>
              <w:t>Dry weather flow (DWF)</w:t>
            </w:r>
            <w:r>
              <w:rPr>
                <w:noProof/>
                <w:webHidden/>
              </w:rPr>
              <w:tab/>
            </w:r>
            <w:r>
              <w:rPr>
                <w:noProof/>
                <w:webHidden/>
              </w:rPr>
              <w:fldChar w:fldCharType="begin"/>
            </w:r>
            <w:r>
              <w:rPr>
                <w:noProof/>
                <w:webHidden/>
              </w:rPr>
              <w:instrText xml:space="preserve"> PAGEREF _Toc193873848 \h </w:instrText>
            </w:r>
            <w:r>
              <w:rPr>
                <w:noProof/>
                <w:webHidden/>
              </w:rPr>
            </w:r>
            <w:r>
              <w:rPr>
                <w:noProof/>
                <w:webHidden/>
              </w:rPr>
              <w:fldChar w:fldCharType="separate"/>
            </w:r>
            <w:r>
              <w:rPr>
                <w:noProof/>
                <w:webHidden/>
              </w:rPr>
              <w:t>12</w:t>
            </w:r>
            <w:r>
              <w:rPr>
                <w:noProof/>
                <w:webHidden/>
              </w:rPr>
              <w:fldChar w:fldCharType="end"/>
            </w:r>
          </w:hyperlink>
        </w:p>
        <w:p w14:paraId="4EC20E62" w14:textId="17814970" w:rsidR="00D954AD" w:rsidRDefault="00D954AD">
          <w:pPr>
            <w:pStyle w:val="TOC3"/>
            <w:tabs>
              <w:tab w:val="right" w:leader="dot" w:pos="10212"/>
            </w:tabs>
            <w:rPr>
              <w:noProof/>
              <w:kern w:val="2"/>
              <w:lang w:eastAsia="en-GB"/>
              <w14:ligatures w14:val="standardContextual"/>
            </w:rPr>
          </w:pPr>
          <w:hyperlink w:anchor="_Toc193873849" w:history="1">
            <w:r w:rsidRPr="000268FD">
              <w:rPr>
                <w:rStyle w:val="Hyperlink"/>
                <w:noProof/>
              </w:rPr>
              <w:t>3.2.1 DWF</w:t>
            </w:r>
            <w:r>
              <w:rPr>
                <w:noProof/>
                <w:webHidden/>
              </w:rPr>
              <w:tab/>
            </w:r>
            <w:r>
              <w:rPr>
                <w:noProof/>
                <w:webHidden/>
              </w:rPr>
              <w:fldChar w:fldCharType="begin"/>
            </w:r>
            <w:r>
              <w:rPr>
                <w:noProof/>
                <w:webHidden/>
              </w:rPr>
              <w:instrText xml:space="preserve"> PAGEREF _Toc193873849 \h </w:instrText>
            </w:r>
            <w:r>
              <w:rPr>
                <w:noProof/>
                <w:webHidden/>
              </w:rPr>
            </w:r>
            <w:r>
              <w:rPr>
                <w:noProof/>
                <w:webHidden/>
              </w:rPr>
              <w:fldChar w:fldCharType="separate"/>
            </w:r>
            <w:r>
              <w:rPr>
                <w:noProof/>
                <w:webHidden/>
              </w:rPr>
              <w:t>12</w:t>
            </w:r>
            <w:r>
              <w:rPr>
                <w:noProof/>
                <w:webHidden/>
              </w:rPr>
              <w:fldChar w:fldCharType="end"/>
            </w:r>
          </w:hyperlink>
        </w:p>
        <w:p w14:paraId="05AEAF41" w14:textId="3C5ECDC7" w:rsidR="00D954AD" w:rsidRDefault="00D954AD">
          <w:pPr>
            <w:pStyle w:val="TOC3"/>
            <w:tabs>
              <w:tab w:val="left" w:pos="1440"/>
              <w:tab w:val="right" w:leader="dot" w:pos="10212"/>
            </w:tabs>
            <w:rPr>
              <w:noProof/>
              <w:kern w:val="2"/>
              <w:lang w:eastAsia="en-GB"/>
              <w14:ligatures w14:val="standardContextual"/>
            </w:rPr>
          </w:pPr>
          <w:hyperlink w:anchor="_Toc193873850" w:history="1">
            <w:r w:rsidRPr="000268FD">
              <w:rPr>
                <w:rStyle w:val="Hyperlink"/>
                <w:noProof/>
              </w:rPr>
              <w:t>3.2.2</w:t>
            </w:r>
            <w:r>
              <w:rPr>
                <w:noProof/>
                <w:kern w:val="2"/>
                <w:lang w:eastAsia="en-GB"/>
                <w14:ligatures w14:val="standardContextual"/>
              </w:rPr>
              <w:tab/>
            </w:r>
            <w:r w:rsidRPr="000268FD">
              <w:rPr>
                <w:rStyle w:val="Hyperlink"/>
                <w:noProof/>
              </w:rPr>
              <w:t>Background</w:t>
            </w:r>
            <w:r>
              <w:rPr>
                <w:noProof/>
                <w:webHidden/>
              </w:rPr>
              <w:tab/>
            </w:r>
            <w:r>
              <w:rPr>
                <w:noProof/>
                <w:webHidden/>
              </w:rPr>
              <w:fldChar w:fldCharType="begin"/>
            </w:r>
            <w:r>
              <w:rPr>
                <w:noProof/>
                <w:webHidden/>
              </w:rPr>
              <w:instrText xml:space="preserve"> PAGEREF _Toc193873850 \h </w:instrText>
            </w:r>
            <w:r>
              <w:rPr>
                <w:noProof/>
                <w:webHidden/>
              </w:rPr>
            </w:r>
            <w:r>
              <w:rPr>
                <w:noProof/>
                <w:webHidden/>
              </w:rPr>
              <w:fldChar w:fldCharType="separate"/>
            </w:r>
            <w:r>
              <w:rPr>
                <w:noProof/>
                <w:webHidden/>
              </w:rPr>
              <w:t>12</w:t>
            </w:r>
            <w:r>
              <w:rPr>
                <w:noProof/>
                <w:webHidden/>
              </w:rPr>
              <w:fldChar w:fldCharType="end"/>
            </w:r>
          </w:hyperlink>
        </w:p>
        <w:p w14:paraId="19860870" w14:textId="6A7A921F" w:rsidR="00D954AD" w:rsidRDefault="00D954AD">
          <w:pPr>
            <w:pStyle w:val="TOC3"/>
            <w:tabs>
              <w:tab w:val="left" w:pos="1440"/>
              <w:tab w:val="right" w:leader="dot" w:pos="10212"/>
            </w:tabs>
            <w:rPr>
              <w:noProof/>
              <w:kern w:val="2"/>
              <w:lang w:eastAsia="en-GB"/>
              <w14:ligatures w14:val="standardContextual"/>
            </w:rPr>
          </w:pPr>
          <w:hyperlink w:anchor="_Toc193873851" w:history="1">
            <w:r w:rsidRPr="000268FD">
              <w:rPr>
                <w:rStyle w:val="Hyperlink"/>
                <w:noProof/>
              </w:rPr>
              <w:t xml:space="preserve">3.2.3 </w:t>
            </w:r>
            <w:r>
              <w:rPr>
                <w:noProof/>
                <w:kern w:val="2"/>
                <w:lang w:eastAsia="en-GB"/>
                <w14:ligatures w14:val="standardContextual"/>
              </w:rPr>
              <w:tab/>
            </w:r>
            <w:r w:rsidRPr="000268FD">
              <w:rPr>
                <w:rStyle w:val="Hyperlink"/>
                <w:noProof/>
              </w:rPr>
              <w:t>Permit compliance with DWF</w:t>
            </w:r>
            <w:r>
              <w:rPr>
                <w:noProof/>
                <w:webHidden/>
              </w:rPr>
              <w:tab/>
            </w:r>
            <w:r>
              <w:rPr>
                <w:noProof/>
                <w:webHidden/>
              </w:rPr>
              <w:fldChar w:fldCharType="begin"/>
            </w:r>
            <w:r>
              <w:rPr>
                <w:noProof/>
                <w:webHidden/>
              </w:rPr>
              <w:instrText xml:space="preserve"> PAGEREF _Toc193873851 \h </w:instrText>
            </w:r>
            <w:r>
              <w:rPr>
                <w:noProof/>
                <w:webHidden/>
              </w:rPr>
            </w:r>
            <w:r>
              <w:rPr>
                <w:noProof/>
                <w:webHidden/>
              </w:rPr>
              <w:fldChar w:fldCharType="separate"/>
            </w:r>
            <w:r>
              <w:rPr>
                <w:noProof/>
                <w:webHidden/>
              </w:rPr>
              <w:t>12</w:t>
            </w:r>
            <w:r>
              <w:rPr>
                <w:noProof/>
                <w:webHidden/>
              </w:rPr>
              <w:fldChar w:fldCharType="end"/>
            </w:r>
          </w:hyperlink>
        </w:p>
        <w:p w14:paraId="45FE7087" w14:textId="238A7123" w:rsidR="00D954AD" w:rsidRDefault="00D954AD">
          <w:pPr>
            <w:pStyle w:val="TOC3"/>
            <w:tabs>
              <w:tab w:val="left" w:pos="1440"/>
              <w:tab w:val="right" w:leader="dot" w:pos="10212"/>
            </w:tabs>
            <w:rPr>
              <w:noProof/>
              <w:kern w:val="2"/>
              <w:lang w:eastAsia="en-GB"/>
              <w14:ligatures w14:val="standardContextual"/>
            </w:rPr>
          </w:pPr>
          <w:hyperlink w:anchor="_Toc193873852" w:history="1">
            <w:r w:rsidRPr="000268FD">
              <w:rPr>
                <w:rStyle w:val="Hyperlink"/>
                <w:noProof/>
              </w:rPr>
              <w:t>3.2.4</w:t>
            </w:r>
            <w:r>
              <w:rPr>
                <w:noProof/>
                <w:kern w:val="2"/>
                <w:lang w:eastAsia="en-GB"/>
                <w14:ligatures w14:val="standardContextual"/>
              </w:rPr>
              <w:tab/>
            </w:r>
            <w:r w:rsidRPr="000268FD">
              <w:rPr>
                <w:rStyle w:val="Hyperlink"/>
                <w:noProof/>
              </w:rPr>
              <w:t>DWF compliance and reporting</w:t>
            </w:r>
            <w:r>
              <w:rPr>
                <w:noProof/>
                <w:webHidden/>
              </w:rPr>
              <w:tab/>
            </w:r>
            <w:r>
              <w:rPr>
                <w:noProof/>
                <w:webHidden/>
              </w:rPr>
              <w:fldChar w:fldCharType="begin"/>
            </w:r>
            <w:r>
              <w:rPr>
                <w:noProof/>
                <w:webHidden/>
              </w:rPr>
              <w:instrText xml:space="preserve"> PAGEREF _Toc193873852 \h </w:instrText>
            </w:r>
            <w:r>
              <w:rPr>
                <w:noProof/>
                <w:webHidden/>
              </w:rPr>
            </w:r>
            <w:r>
              <w:rPr>
                <w:noProof/>
                <w:webHidden/>
              </w:rPr>
              <w:fldChar w:fldCharType="separate"/>
            </w:r>
            <w:r>
              <w:rPr>
                <w:noProof/>
                <w:webHidden/>
              </w:rPr>
              <w:t>12</w:t>
            </w:r>
            <w:r>
              <w:rPr>
                <w:noProof/>
                <w:webHidden/>
              </w:rPr>
              <w:fldChar w:fldCharType="end"/>
            </w:r>
          </w:hyperlink>
        </w:p>
        <w:p w14:paraId="4D2FBB97" w14:textId="55CBE9F5" w:rsidR="00D954AD" w:rsidRDefault="00D954AD">
          <w:pPr>
            <w:pStyle w:val="TOC3"/>
            <w:tabs>
              <w:tab w:val="left" w:pos="1440"/>
              <w:tab w:val="right" w:leader="dot" w:pos="10212"/>
            </w:tabs>
            <w:rPr>
              <w:noProof/>
              <w:kern w:val="2"/>
              <w:lang w:eastAsia="en-GB"/>
              <w14:ligatures w14:val="standardContextual"/>
            </w:rPr>
          </w:pPr>
          <w:hyperlink w:anchor="_Toc193873853" w:history="1">
            <w:r w:rsidRPr="000268FD">
              <w:rPr>
                <w:rStyle w:val="Hyperlink"/>
                <w:noProof/>
              </w:rPr>
              <w:t>3.2.5</w:t>
            </w:r>
            <w:r>
              <w:rPr>
                <w:noProof/>
                <w:kern w:val="2"/>
                <w:lang w:eastAsia="en-GB"/>
                <w14:ligatures w14:val="standardContextual"/>
              </w:rPr>
              <w:tab/>
            </w:r>
            <w:r w:rsidRPr="000268FD">
              <w:rPr>
                <w:rStyle w:val="Hyperlink"/>
                <w:noProof/>
              </w:rPr>
              <w:t>Proposals to amend population equivalent (pe) at STWs</w:t>
            </w:r>
            <w:r>
              <w:rPr>
                <w:noProof/>
                <w:webHidden/>
              </w:rPr>
              <w:tab/>
            </w:r>
            <w:r>
              <w:rPr>
                <w:noProof/>
                <w:webHidden/>
              </w:rPr>
              <w:fldChar w:fldCharType="begin"/>
            </w:r>
            <w:r>
              <w:rPr>
                <w:noProof/>
                <w:webHidden/>
              </w:rPr>
              <w:instrText xml:space="preserve"> PAGEREF _Toc193873853 \h </w:instrText>
            </w:r>
            <w:r>
              <w:rPr>
                <w:noProof/>
                <w:webHidden/>
              </w:rPr>
            </w:r>
            <w:r>
              <w:rPr>
                <w:noProof/>
                <w:webHidden/>
              </w:rPr>
              <w:fldChar w:fldCharType="separate"/>
            </w:r>
            <w:r>
              <w:rPr>
                <w:noProof/>
                <w:webHidden/>
              </w:rPr>
              <w:t>12</w:t>
            </w:r>
            <w:r>
              <w:rPr>
                <w:noProof/>
                <w:webHidden/>
              </w:rPr>
              <w:fldChar w:fldCharType="end"/>
            </w:r>
          </w:hyperlink>
        </w:p>
        <w:p w14:paraId="3B3C73CF" w14:textId="16DA4B78" w:rsidR="00D954AD" w:rsidRDefault="00D954AD">
          <w:pPr>
            <w:pStyle w:val="TOC2"/>
            <w:tabs>
              <w:tab w:val="left" w:pos="960"/>
              <w:tab w:val="right" w:leader="dot" w:pos="10212"/>
            </w:tabs>
            <w:rPr>
              <w:noProof/>
              <w:kern w:val="2"/>
              <w:lang w:eastAsia="en-GB"/>
              <w14:ligatures w14:val="standardContextual"/>
            </w:rPr>
          </w:pPr>
          <w:hyperlink w:anchor="_Toc193873854" w:history="1">
            <w:r w:rsidRPr="000268FD">
              <w:rPr>
                <w:rStyle w:val="Hyperlink"/>
                <w:noProof/>
              </w:rPr>
              <w:t>3.3</w:t>
            </w:r>
            <w:r>
              <w:rPr>
                <w:noProof/>
                <w:kern w:val="2"/>
                <w:lang w:eastAsia="en-GB"/>
                <w14:ligatures w14:val="standardContextual"/>
              </w:rPr>
              <w:tab/>
            </w:r>
            <w:r w:rsidRPr="000268FD">
              <w:rPr>
                <w:rStyle w:val="Hyperlink"/>
                <w:noProof/>
              </w:rPr>
              <w:t>Design FFT</w:t>
            </w:r>
            <w:r>
              <w:rPr>
                <w:noProof/>
                <w:webHidden/>
              </w:rPr>
              <w:tab/>
            </w:r>
            <w:r>
              <w:rPr>
                <w:noProof/>
                <w:webHidden/>
              </w:rPr>
              <w:fldChar w:fldCharType="begin"/>
            </w:r>
            <w:r>
              <w:rPr>
                <w:noProof/>
                <w:webHidden/>
              </w:rPr>
              <w:instrText xml:space="preserve"> PAGEREF _Toc193873854 \h </w:instrText>
            </w:r>
            <w:r>
              <w:rPr>
                <w:noProof/>
                <w:webHidden/>
              </w:rPr>
            </w:r>
            <w:r>
              <w:rPr>
                <w:noProof/>
                <w:webHidden/>
              </w:rPr>
              <w:fldChar w:fldCharType="separate"/>
            </w:r>
            <w:r>
              <w:rPr>
                <w:noProof/>
                <w:webHidden/>
              </w:rPr>
              <w:t>12</w:t>
            </w:r>
            <w:r>
              <w:rPr>
                <w:noProof/>
                <w:webHidden/>
              </w:rPr>
              <w:fldChar w:fldCharType="end"/>
            </w:r>
          </w:hyperlink>
        </w:p>
        <w:p w14:paraId="1933B1E1" w14:textId="56A76DF9" w:rsidR="00D954AD" w:rsidRDefault="00D954AD">
          <w:pPr>
            <w:pStyle w:val="TOC2"/>
            <w:tabs>
              <w:tab w:val="left" w:pos="960"/>
              <w:tab w:val="right" w:leader="dot" w:pos="10212"/>
            </w:tabs>
            <w:rPr>
              <w:noProof/>
              <w:kern w:val="2"/>
              <w:lang w:eastAsia="en-GB"/>
              <w14:ligatures w14:val="standardContextual"/>
            </w:rPr>
          </w:pPr>
          <w:hyperlink w:anchor="_Toc193873855" w:history="1">
            <w:r w:rsidRPr="000268FD">
              <w:rPr>
                <w:rStyle w:val="Hyperlink"/>
                <w:noProof/>
              </w:rPr>
              <w:t>3.4</w:t>
            </w:r>
            <w:r>
              <w:rPr>
                <w:noProof/>
                <w:kern w:val="2"/>
                <w:lang w:eastAsia="en-GB"/>
                <w14:ligatures w14:val="standardContextual"/>
              </w:rPr>
              <w:tab/>
            </w:r>
            <w:r w:rsidRPr="000268FD">
              <w:rPr>
                <w:rStyle w:val="Hyperlink"/>
                <w:noProof/>
              </w:rPr>
              <w:t>Formula A</w:t>
            </w:r>
            <w:r>
              <w:rPr>
                <w:noProof/>
                <w:webHidden/>
              </w:rPr>
              <w:tab/>
            </w:r>
            <w:r>
              <w:rPr>
                <w:noProof/>
                <w:webHidden/>
              </w:rPr>
              <w:fldChar w:fldCharType="begin"/>
            </w:r>
            <w:r>
              <w:rPr>
                <w:noProof/>
                <w:webHidden/>
              </w:rPr>
              <w:instrText xml:space="preserve"> PAGEREF _Toc193873855 \h </w:instrText>
            </w:r>
            <w:r>
              <w:rPr>
                <w:noProof/>
                <w:webHidden/>
              </w:rPr>
            </w:r>
            <w:r>
              <w:rPr>
                <w:noProof/>
                <w:webHidden/>
              </w:rPr>
              <w:fldChar w:fldCharType="separate"/>
            </w:r>
            <w:r>
              <w:rPr>
                <w:noProof/>
                <w:webHidden/>
              </w:rPr>
              <w:t>12</w:t>
            </w:r>
            <w:r>
              <w:rPr>
                <w:noProof/>
                <w:webHidden/>
              </w:rPr>
              <w:fldChar w:fldCharType="end"/>
            </w:r>
          </w:hyperlink>
        </w:p>
        <w:p w14:paraId="6F3BCADE" w14:textId="176DE145" w:rsidR="00D954AD" w:rsidRDefault="00D954AD">
          <w:pPr>
            <w:pStyle w:val="TOC1"/>
            <w:tabs>
              <w:tab w:val="left" w:pos="480"/>
              <w:tab w:val="right" w:leader="dot" w:pos="10212"/>
            </w:tabs>
            <w:rPr>
              <w:noProof/>
              <w:kern w:val="2"/>
              <w:lang w:eastAsia="en-GB"/>
              <w14:ligatures w14:val="standardContextual"/>
            </w:rPr>
          </w:pPr>
          <w:hyperlink w:anchor="_Toc193873856" w:history="1">
            <w:r w:rsidRPr="000268FD">
              <w:rPr>
                <w:rStyle w:val="Hyperlink"/>
                <w:noProof/>
              </w:rPr>
              <w:t>4.</w:t>
            </w:r>
            <w:r>
              <w:rPr>
                <w:noProof/>
                <w:kern w:val="2"/>
                <w:lang w:eastAsia="en-GB"/>
                <w14:ligatures w14:val="standardContextual"/>
              </w:rPr>
              <w:tab/>
            </w:r>
            <w:r w:rsidRPr="000268FD">
              <w:rPr>
                <w:rStyle w:val="Hyperlink"/>
                <w:noProof/>
              </w:rPr>
              <w:t>Overflows</w:t>
            </w:r>
            <w:r>
              <w:rPr>
                <w:noProof/>
                <w:webHidden/>
              </w:rPr>
              <w:tab/>
            </w:r>
            <w:r>
              <w:rPr>
                <w:noProof/>
                <w:webHidden/>
              </w:rPr>
              <w:fldChar w:fldCharType="begin"/>
            </w:r>
            <w:r>
              <w:rPr>
                <w:noProof/>
                <w:webHidden/>
              </w:rPr>
              <w:instrText xml:space="preserve"> PAGEREF _Toc193873856 \h </w:instrText>
            </w:r>
            <w:r>
              <w:rPr>
                <w:noProof/>
                <w:webHidden/>
              </w:rPr>
            </w:r>
            <w:r>
              <w:rPr>
                <w:noProof/>
                <w:webHidden/>
              </w:rPr>
              <w:fldChar w:fldCharType="separate"/>
            </w:r>
            <w:r>
              <w:rPr>
                <w:noProof/>
                <w:webHidden/>
              </w:rPr>
              <w:t>12</w:t>
            </w:r>
            <w:r>
              <w:rPr>
                <w:noProof/>
                <w:webHidden/>
              </w:rPr>
              <w:fldChar w:fldCharType="end"/>
            </w:r>
          </w:hyperlink>
        </w:p>
        <w:p w14:paraId="63E2A773" w14:textId="22FB23A5" w:rsidR="00D954AD" w:rsidRDefault="00D954AD">
          <w:pPr>
            <w:pStyle w:val="TOC2"/>
            <w:tabs>
              <w:tab w:val="left" w:pos="960"/>
              <w:tab w:val="right" w:leader="dot" w:pos="10212"/>
            </w:tabs>
            <w:rPr>
              <w:noProof/>
              <w:kern w:val="2"/>
              <w:lang w:eastAsia="en-GB"/>
              <w14:ligatures w14:val="standardContextual"/>
            </w:rPr>
          </w:pPr>
          <w:hyperlink w:anchor="_Toc193873857" w:history="1">
            <w:r w:rsidRPr="000268FD">
              <w:rPr>
                <w:rStyle w:val="Hyperlink"/>
                <w:noProof/>
              </w:rPr>
              <w:t>4.1</w:t>
            </w:r>
            <w:r>
              <w:rPr>
                <w:noProof/>
                <w:kern w:val="2"/>
                <w:lang w:eastAsia="en-GB"/>
                <w14:ligatures w14:val="standardContextual"/>
              </w:rPr>
              <w:tab/>
            </w:r>
            <w:r w:rsidRPr="000268FD">
              <w:rPr>
                <w:rStyle w:val="Hyperlink"/>
                <w:noProof/>
              </w:rPr>
              <w:t>Combined sewer overflows (CSOs)</w:t>
            </w:r>
            <w:r>
              <w:rPr>
                <w:noProof/>
                <w:webHidden/>
              </w:rPr>
              <w:tab/>
            </w:r>
            <w:r>
              <w:rPr>
                <w:noProof/>
                <w:webHidden/>
              </w:rPr>
              <w:fldChar w:fldCharType="begin"/>
            </w:r>
            <w:r>
              <w:rPr>
                <w:noProof/>
                <w:webHidden/>
              </w:rPr>
              <w:instrText xml:space="preserve"> PAGEREF _Toc193873857 \h </w:instrText>
            </w:r>
            <w:r>
              <w:rPr>
                <w:noProof/>
                <w:webHidden/>
              </w:rPr>
            </w:r>
            <w:r>
              <w:rPr>
                <w:noProof/>
                <w:webHidden/>
              </w:rPr>
              <w:fldChar w:fldCharType="separate"/>
            </w:r>
            <w:r>
              <w:rPr>
                <w:noProof/>
                <w:webHidden/>
              </w:rPr>
              <w:t>12</w:t>
            </w:r>
            <w:r>
              <w:rPr>
                <w:noProof/>
                <w:webHidden/>
              </w:rPr>
              <w:fldChar w:fldCharType="end"/>
            </w:r>
          </w:hyperlink>
        </w:p>
        <w:p w14:paraId="093EC9E9" w14:textId="6194686B" w:rsidR="00D954AD" w:rsidRDefault="00D954AD">
          <w:pPr>
            <w:pStyle w:val="TOC2"/>
            <w:tabs>
              <w:tab w:val="left" w:pos="960"/>
              <w:tab w:val="right" w:leader="dot" w:pos="10212"/>
            </w:tabs>
            <w:rPr>
              <w:noProof/>
              <w:kern w:val="2"/>
              <w:lang w:eastAsia="en-GB"/>
              <w14:ligatures w14:val="standardContextual"/>
            </w:rPr>
          </w:pPr>
          <w:hyperlink w:anchor="_Toc193873858" w:history="1">
            <w:r w:rsidRPr="000268FD">
              <w:rPr>
                <w:rStyle w:val="Hyperlink"/>
                <w:noProof/>
              </w:rPr>
              <w:t>4.2</w:t>
            </w:r>
            <w:r>
              <w:rPr>
                <w:noProof/>
                <w:kern w:val="2"/>
                <w:lang w:eastAsia="en-GB"/>
                <w14:ligatures w14:val="standardContextual"/>
              </w:rPr>
              <w:tab/>
            </w:r>
            <w:r w:rsidRPr="000268FD">
              <w:rPr>
                <w:rStyle w:val="Hyperlink"/>
                <w:noProof/>
              </w:rPr>
              <w:t>Settled storm sewage overflows</w:t>
            </w:r>
            <w:r>
              <w:rPr>
                <w:noProof/>
                <w:webHidden/>
              </w:rPr>
              <w:tab/>
            </w:r>
            <w:r>
              <w:rPr>
                <w:noProof/>
                <w:webHidden/>
              </w:rPr>
              <w:fldChar w:fldCharType="begin"/>
            </w:r>
            <w:r>
              <w:rPr>
                <w:noProof/>
                <w:webHidden/>
              </w:rPr>
              <w:instrText xml:space="preserve"> PAGEREF _Toc193873858 \h </w:instrText>
            </w:r>
            <w:r>
              <w:rPr>
                <w:noProof/>
                <w:webHidden/>
              </w:rPr>
            </w:r>
            <w:r>
              <w:rPr>
                <w:noProof/>
                <w:webHidden/>
              </w:rPr>
              <w:fldChar w:fldCharType="separate"/>
            </w:r>
            <w:r>
              <w:rPr>
                <w:noProof/>
                <w:webHidden/>
              </w:rPr>
              <w:t>13</w:t>
            </w:r>
            <w:r>
              <w:rPr>
                <w:noProof/>
                <w:webHidden/>
              </w:rPr>
              <w:fldChar w:fldCharType="end"/>
            </w:r>
          </w:hyperlink>
        </w:p>
        <w:p w14:paraId="48D4AF09" w14:textId="76630D4F" w:rsidR="00D954AD" w:rsidRDefault="00D954AD">
          <w:pPr>
            <w:pStyle w:val="TOC2"/>
            <w:tabs>
              <w:tab w:val="left" w:pos="960"/>
              <w:tab w:val="right" w:leader="dot" w:pos="10212"/>
            </w:tabs>
            <w:rPr>
              <w:noProof/>
              <w:kern w:val="2"/>
              <w:lang w:eastAsia="en-GB"/>
              <w14:ligatures w14:val="standardContextual"/>
            </w:rPr>
          </w:pPr>
          <w:hyperlink w:anchor="_Toc193873859" w:history="1">
            <w:r w:rsidRPr="000268FD">
              <w:rPr>
                <w:rStyle w:val="Hyperlink"/>
                <w:noProof/>
              </w:rPr>
              <w:t>4.3</w:t>
            </w:r>
            <w:r>
              <w:rPr>
                <w:noProof/>
                <w:kern w:val="2"/>
                <w:lang w:eastAsia="en-GB"/>
                <w14:ligatures w14:val="standardContextual"/>
              </w:rPr>
              <w:tab/>
            </w:r>
            <w:r w:rsidRPr="000268FD">
              <w:rPr>
                <w:rStyle w:val="Hyperlink"/>
                <w:noProof/>
              </w:rPr>
              <w:t>Emergency overflows (EOs)</w:t>
            </w:r>
            <w:r>
              <w:rPr>
                <w:noProof/>
                <w:webHidden/>
              </w:rPr>
              <w:tab/>
            </w:r>
            <w:r>
              <w:rPr>
                <w:noProof/>
                <w:webHidden/>
              </w:rPr>
              <w:fldChar w:fldCharType="begin"/>
            </w:r>
            <w:r>
              <w:rPr>
                <w:noProof/>
                <w:webHidden/>
              </w:rPr>
              <w:instrText xml:space="preserve"> PAGEREF _Toc193873859 \h </w:instrText>
            </w:r>
            <w:r>
              <w:rPr>
                <w:noProof/>
                <w:webHidden/>
              </w:rPr>
            </w:r>
            <w:r>
              <w:rPr>
                <w:noProof/>
                <w:webHidden/>
              </w:rPr>
              <w:fldChar w:fldCharType="separate"/>
            </w:r>
            <w:r>
              <w:rPr>
                <w:noProof/>
                <w:webHidden/>
              </w:rPr>
              <w:t>13</w:t>
            </w:r>
            <w:r>
              <w:rPr>
                <w:noProof/>
                <w:webHidden/>
              </w:rPr>
              <w:fldChar w:fldCharType="end"/>
            </w:r>
          </w:hyperlink>
        </w:p>
        <w:p w14:paraId="224BB95F" w14:textId="0FFAA69A" w:rsidR="00D954AD" w:rsidRDefault="00D954AD">
          <w:pPr>
            <w:pStyle w:val="TOC3"/>
            <w:tabs>
              <w:tab w:val="left" w:pos="1440"/>
              <w:tab w:val="right" w:leader="dot" w:pos="10212"/>
            </w:tabs>
            <w:rPr>
              <w:noProof/>
              <w:kern w:val="2"/>
              <w:lang w:eastAsia="en-GB"/>
              <w14:ligatures w14:val="standardContextual"/>
            </w:rPr>
          </w:pPr>
          <w:hyperlink w:anchor="_Toc193873860" w:history="1">
            <w:r w:rsidRPr="000268FD">
              <w:rPr>
                <w:rStyle w:val="Hyperlink"/>
                <w:noProof/>
              </w:rPr>
              <w:t>4.3.1</w:t>
            </w:r>
            <w:r>
              <w:rPr>
                <w:noProof/>
                <w:kern w:val="2"/>
                <w:lang w:eastAsia="en-GB"/>
                <w14:ligatures w14:val="standardContextual"/>
              </w:rPr>
              <w:tab/>
            </w:r>
            <w:r w:rsidRPr="000268FD">
              <w:rPr>
                <w:rStyle w:val="Hyperlink"/>
                <w:noProof/>
              </w:rPr>
              <w:t>Screening</w:t>
            </w:r>
            <w:r>
              <w:rPr>
                <w:noProof/>
                <w:webHidden/>
              </w:rPr>
              <w:tab/>
            </w:r>
            <w:r>
              <w:rPr>
                <w:noProof/>
                <w:webHidden/>
              </w:rPr>
              <w:fldChar w:fldCharType="begin"/>
            </w:r>
            <w:r>
              <w:rPr>
                <w:noProof/>
                <w:webHidden/>
              </w:rPr>
              <w:instrText xml:space="preserve"> PAGEREF _Toc193873860 \h </w:instrText>
            </w:r>
            <w:r>
              <w:rPr>
                <w:noProof/>
                <w:webHidden/>
              </w:rPr>
            </w:r>
            <w:r>
              <w:rPr>
                <w:noProof/>
                <w:webHidden/>
              </w:rPr>
              <w:fldChar w:fldCharType="separate"/>
            </w:r>
            <w:r>
              <w:rPr>
                <w:noProof/>
                <w:webHidden/>
              </w:rPr>
              <w:t>14</w:t>
            </w:r>
            <w:r>
              <w:rPr>
                <w:noProof/>
                <w:webHidden/>
              </w:rPr>
              <w:fldChar w:fldCharType="end"/>
            </w:r>
          </w:hyperlink>
        </w:p>
        <w:p w14:paraId="4E1347D4" w14:textId="060E9AB4" w:rsidR="00D954AD" w:rsidRDefault="00D954AD">
          <w:pPr>
            <w:pStyle w:val="TOC3"/>
            <w:tabs>
              <w:tab w:val="left" w:pos="1440"/>
              <w:tab w:val="right" w:leader="dot" w:pos="10212"/>
            </w:tabs>
            <w:rPr>
              <w:noProof/>
              <w:kern w:val="2"/>
              <w:lang w:eastAsia="en-GB"/>
              <w14:ligatures w14:val="standardContextual"/>
            </w:rPr>
          </w:pPr>
          <w:hyperlink w:anchor="_Toc193873861" w:history="1">
            <w:r w:rsidRPr="000268FD">
              <w:rPr>
                <w:rStyle w:val="Hyperlink"/>
                <w:noProof/>
              </w:rPr>
              <w:t>4.3.2</w:t>
            </w:r>
            <w:r>
              <w:rPr>
                <w:noProof/>
                <w:kern w:val="2"/>
                <w:lang w:eastAsia="en-GB"/>
                <w14:ligatures w14:val="standardContextual"/>
              </w:rPr>
              <w:tab/>
            </w:r>
            <w:r w:rsidRPr="000268FD">
              <w:rPr>
                <w:rStyle w:val="Hyperlink"/>
                <w:noProof/>
              </w:rPr>
              <w:t>Storage</w:t>
            </w:r>
            <w:r>
              <w:rPr>
                <w:noProof/>
                <w:webHidden/>
              </w:rPr>
              <w:tab/>
            </w:r>
            <w:r>
              <w:rPr>
                <w:noProof/>
                <w:webHidden/>
              </w:rPr>
              <w:fldChar w:fldCharType="begin"/>
            </w:r>
            <w:r>
              <w:rPr>
                <w:noProof/>
                <w:webHidden/>
              </w:rPr>
              <w:instrText xml:space="preserve"> PAGEREF _Toc193873861 \h </w:instrText>
            </w:r>
            <w:r>
              <w:rPr>
                <w:noProof/>
                <w:webHidden/>
              </w:rPr>
            </w:r>
            <w:r>
              <w:rPr>
                <w:noProof/>
                <w:webHidden/>
              </w:rPr>
              <w:fldChar w:fldCharType="separate"/>
            </w:r>
            <w:r>
              <w:rPr>
                <w:noProof/>
                <w:webHidden/>
              </w:rPr>
              <w:t>14</w:t>
            </w:r>
            <w:r>
              <w:rPr>
                <w:noProof/>
                <w:webHidden/>
              </w:rPr>
              <w:fldChar w:fldCharType="end"/>
            </w:r>
          </w:hyperlink>
        </w:p>
        <w:p w14:paraId="54B77372" w14:textId="13C05A5C" w:rsidR="00D954AD" w:rsidRDefault="00D954AD">
          <w:pPr>
            <w:pStyle w:val="TOC3"/>
            <w:tabs>
              <w:tab w:val="left" w:pos="1440"/>
              <w:tab w:val="right" w:leader="dot" w:pos="10212"/>
            </w:tabs>
            <w:rPr>
              <w:noProof/>
              <w:kern w:val="2"/>
              <w:lang w:eastAsia="en-GB"/>
              <w14:ligatures w14:val="standardContextual"/>
            </w:rPr>
          </w:pPr>
          <w:hyperlink w:anchor="_Toc193873862" w:history="1">
            <w:r w:rsidRPr="000268FD">
              <w:rPr>
                <w:rStyle w:val="Hyperlink"/>
                <w:noProof/>
              </w:rPr>
              <w:t>4.3.3</w:t>
            </w:r>
            <w:r>
              <w:rPr>
                <w:noProof/>
                <w:kern w:val="2"/>
                <w:lang w:eastAsia="en-GB"/>
                <w14:ligatures w14:val="standardContextual"/>
              </w:rPr>
              <w:tab/>
            </w:r>
            <w:r w:rsidRPr="000268FD">
              <w:rPr>
                <w:rStyle w:val="Hyperlink"/>
                <w:noProof/>
              </w:rPr>
              <w:t>Telemetry</w:t>
            </w:r>
            <w:r>
              <w:rPr>
                <w:noProof/>
                <w:webHidden/>
              </w:rPr>
              <w:tab/>
            </w:r>
            <w:r>
              <w:rPr>
                <w:noProof/>
                <w:webHidden/>
              </w:rPr>
              <w:fldChar w:fldCharType="begin"/>
            </w:r>
            <w:r>
              <w:rPr>
                <w:noProof/>
                <w:webHidden/>
              </w:rPr>
              <w:instrText xml:space="preserve"> PAGEREF _Toc193873862 \h </w:instrText>
            </w:r>
            <w:r>
              <w:rPr>
                <w:noProof/>
                <w:webHidden/>
              </w:rPr>
            </w:r>
            <w:r>
              <w:rPr>
                <w:noProof/>
                <w:webHidden/>
              </w:rPr>
              <w:fldChar w:fldCharType="separate"/>
            </w:r>
            <w:r>
              <w:rPr>
                <w:noProof/>
                <w:webHidden/>
              </w:rPr>
              <w:t>14</w:t>
            </w:r>
            <w:r>
              <w:rPr>
                <w:noProof/>
                <w:webHidden/>
              </w:rPr>
              <w:fldChar w:fldCharType="end"/>
            </w:r>
          </w:hyperlink>
        </w:p>
        <w:p w14:paraId="1CD4B7AE" w14:textId="65AEEFC9" w:rsidR="00D954AD" w:rsidRDefault="00D954AD">
          <w:pPr>
            <w:pStyle w:val="TOC3"/>
            <w:tabs>
              <w:tab w:val="left" w:pos="1440"/>
              <w:tab w:val="right" w:leader="dot" w:pos="10212"/>
            </w:tabs>
            <w:rPr>
              <w:noProof/>
              <w:kern w:val="2"/>
              <w:lang w:eastAsia="en-GB"/>
              <w14:ligatures w14:val="standardContextual"/>
            </w:rPr>
          </w:pPr>
          <w:hyperlink w:anchor="_Toc193873863" w:history="1">
            <w:r w:rsidRPr="000268FD">
              <w:rPr>
                <w:rStyle w:val="Hyperlink"/>
                <w:noProof/>
              </w:rPr>
              <w:t>4.3.4</w:t>
            </w:r>
            <w:r>
              <w:rPr>
                <w:noProof/>
                <w:kern w:val="2"/>
                <w:lang w:eastAsia="en-GB"/>
                <w14:ligatures w14:val="standardContextual"/>
              </w:rPr>
              <w:tab/>
            </w:r>
            <w:r w:rsidRPr="000268FD">
              <w:rPr>
                <w:rStyle w:val="Hyperlink"/>
                <w:noProof/>
              </w:rPr>
              <w:t>Response time</w:t>
            </w:r>
            <w:r>
              <w:rPr>
                <w:noProof/>
                <w:webHidden/>
              </w:rPr>
              <w:tab/>
            </w:r>
            <w:r>
              <w:rPr>
                <w:noProof/>
                <w:webHidden/>
              </w:rPr>
              <w:fldChar w:fldCharType="begin"/>
            </w:r>
            <w:r>
              <w:rPr>
                <w:noProof/>
                <w:webHidden/>
              </w:rPr>
              <w:instrText xml:space="preserve"> PAGEREF _Toc193873863 \h </w:instrText>
            </w:r>
            <w:r>
              <w:rPr>
                <w:noProof/>
                <w:webHidden/>
              </w:rPr>
            </w:r>
            <w:r>
              <w:rPr>
                <w:noProof/>
                <w:webHidden/>
              </w:rPr>
              <w:fldChar w:fldCharType="separate"/>
            </w:r>
            <w:r>
              <w:rPr>
                <w:noProof/>
                <w:webHidden/>
              </w:rPr>
              <w:t>14</w:t>
            </w:r>
            <w:r>
              <w:rPr>
                <w:noProof/>
                <w:webHidden/>
              </w:rPr>
              <w:fldChar w:fldCharType="end"/>
            </w:r>
          </w:hyperlink>
        </w:p>
        <w:p w14:paraId="27974AD4" w14:textId="52A47F37" w:rsidR="00D954AD" w:rsidRDefault="00D954AD">
          <w:pPr>
            <w:pStyle w:val="TOC3"/>
            <w:tabs>
              <w:tab w:val="left" w:pos="1440"/>
              <w:tab w:val="right" w:leader="dot" w:pos="10212"/>
            </w:tabs>
            <w:rPr>
              <w:noProof/>
              <w:kern w:val="2"/>
              <w:lang w:eastAsia="en-GB"/>
              <w14:ligatures w14:val="standardContextual"/>
            </w:rPr>
          </w:pPr>
          <w:hyperlink w:anchor="_Toc193873864" w:history="1">
            <w:r w:rsidRPr="000268FD">
              <w:rPr>
                <w:rStyle w:val="Hyperlink"/>
                <w:noProof/>
              </w:rPr>
              <w:t>4.3.5</w:t>
            </w:r>
            <w:r>
              <w:rPr>
                <w:noProof/>
                <w:kern w:val="2"/>
                <w:lang w:eastAsia="en-GB"/>
                <w14:ligatures w14:val="standardContextual"/>
              </w:rPr>
              <w:tab/>
            </w:r>
            <w:r w:rsidRPr="000268FD">
              <w:rPr>
                <w:rStyle w:val="Hyperlink"/>
                <w:noProof/>
              </w:rPr>
              <w:t>Power</w:t>
            </w:r>
            <w:r>
              <w:rPr>
                <w:noProof/>
                <w:webHidden/>
              </w:rPr>
              <w:tab/>
            </w:r>
            <w:r>
              <w:rPr>
                <w:noProof/>
                <w:webHidden/>
              </w:rPr>
              <w:fldChar w:fldCharType="begin"/>
            </w:r>
            <w:r>
              <w:rPr>
                <w:noProof/>
                <w:webHidden/>
              </w:rPr>
              <w:instrText xml:space="preserve"> PAGEREF _Toc193873864 \h </w:instrText>
            </w:r>
            <w:r>
              <w:rPr>
                <w:noProof/>
                <w:webHidden/>
              </w:rPr>
            </w:r>
            <w:r>
              <w:rPr>
                <w:noProof/>
                <w:webHidden/>
              </w:rPr>
              <w:fldChar w:fldCharType="separate"/>
            </w:r>
            <w:r>
              <w:rPr>
                <w:noProof/>
                <w:webHidden/>
              </w:rPr>
              <w:t>15</w:t>
            </w:r>
            <w:r>
              <w:rPr>
                <w:noProof/>
                <w:webHidden/>
              </w:rPr>
              <w:fldChar w:fldCharType="end"/>
            </w:r>
          </w:hyperlink>
        </w:p>
        <w:p w14:paraId="721E7ED4" w14:textId="46C19E1D" w:rsidR="00D954AD" w:rsidRDefault="00D954AD">
          <w:pPr>
            <w:pStyle w:val="TOC3"/>
            <w:tabs>
              <w:tab w:val="left" w:pos="1440"/>
              <w:tab w:val="right" w:leader="dot" w:pos="10212"/>
            </w:tabs>
            <w:rPr>
              <w:noProof/>
              <w:kern w:val="2"/>
              <w:lang w:eastAsia="en-GB"/>
              <w14:ligatures w14:val="standardContextual"/>
            </w:rPr>
          </w:pPr>
          <w:hyperlink w:anchor="_Toc193873865" w:history="1">
            <w:r w:rsidRPr="000268FD">
              <w:rPr>
                <w:rStyle w:val="Hyperlink"/>
                <w:noProof/>
              </w:rPr>
              <w:t>4.3.6</w:t>
            </w:r>
            <w:r>
              <w:rPr>
                <w:noProof/>
                <w:kern w:val="2"/>
                <w:lang w:eastAsia="en-GB"/>
                <w14:ligatures w14:val="standardContextual"/>
              </w:rPr>
              <w:tab/>
            </w:r>
            <w:r w:rsidRPr="000268FD">
              <w:rPr>
                <w:rStyle w:val="Hyperlink"/>
                <w:noProof/>
              </w:rPr>
              <w:t>Pumps</w:t>
            </w:r>
            <w:r>
              <w:rPr>
                <w:noProof/>
                <w:webHidden/>
              </w:rPr>
              <w:tab/>
            </w:r>
            <w:r>
              <w:rPr>
                <w:noProof/>
                <w:webHidden/>
              </w:rPr>
              <w:fldChar w:fldCharType="begin"/>
            </w:r>
            <w:r>
              <w:rPr>
                <w:noProof/>
                <w:webHidden/>
              </w:rPr>
              <w:instrText xml:space="preserve"> PAGEREF _Toc193873865 \h </w:instrText>
            </w:r>
            <w:r>
              <w:rPr>
                <w:noProof/>
                <w:webHidden/>
              </w:rPr>
            </w:r>
            <w:r>
              <w:rPr>
                <w:noProof/>
                <w:webHidden/>
              </w:rPr>
              <w:fldChar w:fldCharType="separate"/>
            </w:r>
            <w:r>
              <w:rPr>
                <w:noProof/>
                <w:webHidden/>
              </w:rPr>
              <w:t>15</w:t>
            </w:r>
            <w:r>
              <w:rPr>
                <w:noProof/>
                <w:webHidden/>
              </w:rPr>
              <w:fldChar w:fldCharType="end"/>
            </w:r>
          </w:hyperlink>
        </w:p>
        <w:p w14:paraId="16F486BA" w14:textId="5696D4EB" w:rsidR="00D954AD" w:rsidRDefault="00D954AD">
          <w:pPr>
            <w:pStyle w:val="TOC1"/>
            <w:tabs>
              <w:tab w:val="left" w:pos="480"/>
              <w:tab w:val="right" w:leader="dot" w:pos="10212"/>
            </w:tabs>
            <w:rPr>
              <w:noProof/>
              <w:kern w:val="2"/>
              <w:lang w:eastAsia="en-GB"/>
              <w14:ligatures w14:val="standardContextual"/>
            </w:rPr>
          </w:pPr>
          <w:hyperlink w:anchor="_Toc193873866" w:history="1">
            <w:r w:rsidRPr="000268FD">
              <w:rPr>
                <w:rStyle w:val="Hyperlink"/>
                <w:noProof/>
              </w:rPr>
              <w:t>5.</w:t>
            </w:r>
            <w:r>
              <w:rPr>
                <w:noProof/>
                <w:kern w:val="2"/>
                <w:lang w:eastAsia="en-GB"/>
                <w14:ligatures w14:val="standardContextual"/>
              </w:rPr>
              <w:tab/>
            </w:r>
            <w:r w:rsidRPr="000268FD">
              <w:rPr>
                <w:rStyle w:val="Hyperlink"/>
                <w:noProof/>
              </w:rPr>
              <w:t>Discharge standards and UWWT (Scotland) Regulations 1994</w:t>
            </w:r>
            <w:r>
              <w:rPr>
                <w:noProof/>
                <w:webHidden/>
              </w:rPr>
              <w:tab/>
            </w:r>
            <w:r>
              <w:rPr>
                <w:noProof/>
                <w:webHidden/>
              </w:rPr>
              <w:fldChar w:fldCharType="begin"/>
            </w:r>
            <w:r>
              <w:rPr>
                <w:noProof/>
                <w:webHidden/>
              </w:rPr>
              <w:instrText xml:space="preserve"> PAGEREF _Toc193873866 \h </w:instrText>
            </w:r>
            <w:r>
              <w:rPr>
                <w:noProof/>
                <w:webHidden/>
              </w:rPr>
            </w:r>
            <w:r>
              <w:rPr>
                <w:noProof/>
                <w:webHidden/>
              </w:rPr>
              <w:fldChar w:fldCharType="separate"/>
            </w:r>
            <w:r>
              <w:rPr>
                <w:noProof/>
                <w:webHidden/>
              </w:rPr>
              <w:t>15</w:t>
            </w:r>
            <w:r>
              <w:rPr>
                <w:noProof/>
                <w:webHidden/>
              </w:rPr>
              <w:fldChar w:fldCharType="end"/>
            </w:r>
          </w:hyperlink>
        </w:p>
        <w:p w14:paraId="3DE13CDA" w14:textId="397094BD" w:rsidR="00D954AD" w:rsidRDefault="00D954AD">
          <w:pPr>
            <w:pStyle w:val="TOC2"/>
            <w:tabs>
              <w:tab w:val="left" w:pos="960"/>
              <w:tab w:val="right" w:leader="dot" w:pos="10212"/>
            </w:tabs>
            <w:rPr>
              <w:noProof/>
              <w:kern w:val="2"/>
              <w:lang w:eastAsia="en-GB"/>
              <w14:ligatures w14:val="standardContextual"/>
            </w:rPr>
          </w:pPr>
          <w:hyperlink w:anchor="_Toc193873867" w:history="1">
            <w:r w:rsidRPr="000268FD">
              <w:rPr>
                <w:rStyle w:val="Hyperlink"/>
                <w:noProof/>
              </w:rPr>
              <w:t>5.1</w:t>
            </w:r>
            <w:r>
              <w:rPr>
                <w:noProof/>
                <w:kern w:val="2"/>
                <w:lang w:eastAsia="en-GB"/>
                <w14:ligatures w14:val="standardContextual"/>
              </w:rPr>
              <w:tab/>
            </w:r>
            <w:r w:rsidRPr="000268FD">
              <w:rPr>
                <w:rStyle w:val="Hyperlink"/>
                <w:noProof/>
              </w:rPr>
              <w:t>Appropriate treatment</w:t>
            </w:r>
            <w:r>
              <w:rPr>
                <w:noProof/>
                <w:webHidden/>
              </w:rPr>
              <w:tab/>
            </w:r>
            <w:r>
              <w:rPr>
                <w:noProof/>
                <w:webHidden/>
              </w:rPr>
              <w:fldChar w:fldCharType="begin"/>
            </w:r>
            <w:r>
              <w:rPr>
                <w:noProof/>
                <w:webHidden/>
              </w:rPr>
              <w:instrText xml:space="preserve"> PAGEREF _Toc193873867 \h </w:instrText>
            </w:r>
            <w:r>
              <w:rPr>
                <w:noProof/>
                <w:webHidden/>
              </w:rPr>
            </w:r>
            <w:r>
              <w:rPr>
                <w:noProof/>
                <w:webHidden/>
              </w:rPr>
              <w:fldChar w:fldCharType="separate"/>
            </w:r>
            <w:r>
              <w:rPr>
                <w:noProof/>
                <w:webHidden/>
              </w:rPr>
              <w:t>16</w:t>
            </w:r>
            <w:r>
              <w:rPr>
                <w:noProof/>
                <w:webHidden/>
              </w:rPr>
              <w:fldChar w:fldCharType="end"/>
            </w:r>
          </w:hyperlink>
        </w:p>
        <w:p w14:paraId="04E84247" w14:textId="1E8C778A" w:rsidR="00D954AD" w:rsidRDefault="00D954AD">
          <w:pPr>
            <w:pStyle w:val="TOC2"/>
            <w:tabs>
              <w:tab w:val="left" w:pos="960"/>
              <w:tab w:val="right" w:leader="dot" w:pos="10212"/>
            </w:tabs>
            <w:rPr>
              <w:noProof/>
              <w:kern w:val="2"/>
              <w:lang w:eastAsia="en-GB"/>
              <w14:ligatures w14:val="standardContextual"/>
            </w:rPr>
          </w:pPr>
          <w:hyperlink w:anchor="_Toc193873868" w:history="1">
            <w:r w:rsidRPr="000268FD">
              <w:rPr>
                <w:rStyle w:val="Hyperlink"/>
                <w:noProof/>
              </w:rPr>
              <w:t>5.2</w:t>
            </w:r>
            <w:r>
              <w:rPr>
                <w:noProof/>
                <w:kern w:val="2"/>
                <w:lang w:eastAsia="en-GB"/>
                <w14:ligatures w14:val="standardContextual"/>
              </w:rPr>
              <w:tab/>
            </w:r>
            <w:r w:rsidRPr="000268FD">
              <w:rPr>
                <w:rStyle w:val="Hyperlink"/>
                <w:noProof/>
              </w:rPr>
              <w:t>Primary treatment</w:t>
            </w:r>
            <w:r>
              <w:rPr>
                <w:noProof/>
                <w:webHidden/>
              </w:rPr>
              <w:tab/>
            </w:r>
            <w:r>
              <w:rPr>
                <w:noProof/>
                <w:webHidden/>
              </w:rPr>
              <w:fldChar w:fldCharType="begin"/>
            </w:r>
            <w:r>
              <w:rPr>
                <w:noProof/>
                <w:webHidden/>
              </w:rPr>
              <w:instrText xml:space="preserve"> PAGEREF _Toc193873868 \h </w:instrText>
            </w:r>
            <w:r>
              <w:rPr>
                <w:noProof/>
                <w:webHidden/>
              </w:rPr>
            </w:r>
            <w:r>
              <w:rPr>
                <w:noProof/>
                <w:webHidden/>
              </w:rPr>
              <w:fldChar w:fldCharType="separate"/>
            </w:r>
            <w:r>
              <w:rPr>
                <w:noProof/>
                <w:webHidden/>
              </w:rPr>
              <w:t>16</w:t>
            </w:r>
            <w:r>
              <w:rPr>
                <w:noProof/>
                <w:webHidden/>
              </w:rPr>
              <w:fldChar w:fldCharType="end"/>
            </w:r>
          </w:hyperlink>
        </w:p>
        <w:p w14:paraId="5D43516B" w14:textId="761ED92E" w:rsidR="00D954AD" w:rsidRDefault="00D954AD">
          <w:pPr>
            <w:pStyle w:val="TOC2"/>
            <w:tabs>
              <w:tab w:val="left" w:pos="960"/>
              <w:tab w:val="right" w:leader="dot" w:pos="10212"/>
            </w:tabs>
            <w:rPr>
              <w:noProof/>
              <w:kern w:val="2"/>
              <w:lang w:eastAsia="en-GB"/>
              <w14:ligatures w14:val="standardContextual"/>
            </w:rPr>
          </w:pPr>
          <w:hyperlink w:anchor="_Toc193873869" w:history="1">
            <w:r w:rsidRPr="000268FD">
              <w:rPr>
                <w:rStyle w:val="Hyperlink"/>
                <w:noProof/>
              </w:rPr>
              <w:t>5.3</w:t>
            </w:r>
            <w:r>
              <w:rPr>
                <w:noProof/>
                <w:kern w:val="2"/>
                <w:lang w:eastAsia="en-GB"/>
                <w14:ligatures w14:val="standardContextual"/>
              </w:rPr>
              <w:tab/>
            </w:r>
            <w:r w:rsidRPr="000268FD">
              <w:rPr>
                <w:rStyle w:val="Hyperlink"/>
                <w:noProof/>
              </w:rPr>
              <w:t>Secondary treatment</w:t>
            </w:r>
            <w:r>
              <w:rPr>
                <w:noProof/>
                <w:webHidden/>
              </w:rPr>
              <w:tab/>
            </w:r>
            <w:r>
              <w:rPr>
                <w:noProof/>
                <w:webHidden/>
              </w:rPr>
              <w:fldChar w:fldCharType="begin"/>
            </w:r>
            <w:r>
              <w:rPr>
                <w:noProof/>
                <w:webHidden/>
              </w:rPr>
              <w:instrText xml:space="preserve"> PAGEREF _Toc193873869 \h </w:instrText>
            </w:r>
            <w:r>
              <w:rPr>
                <w:noProof/>
                <w:webHidden/>
              </w:rPr>
            </w:r>
            <w:r>
              <w:rPr>
                <w:noProof/>
                <w:webHidden/>
              </w:rPr>
              <w:fldChar w:fldCharType="separate"/>
            </w:r>
            <w:r>
              <w:rPr>
                <w:noProof/>
                <w:webHidden/>
              </w:rPr>
              <w:t>16</w:t>
            </w:r>
            <w:r>
              <w:rPr>
                <w:noProof/>
                <w:webHidden/>
              </w:rPr>
              <w:fldChar w:fldCharType="end"/>
            </w:r>
          </w:hyperlink>
        </w:p>
        <w:p w14:paraId="7A97557A" w14:textId="70A1A39A" w:rsidR="00D954AD" w:rsidRDefault="00D954AD">
          <w:pPr>
            <w:pStyle w:val="TOC2"/>
            <w:tabs>
              <w:tab w:val="left" w:pos="960"/>
              <w:tab w:val="right" w:leader="dot" w:pos="10212"/>
            </w:tabs>
            <w:rPr>
              <w:noProof/>
              <w:kern w:val="2"/>
              <w:lang w:eastAsia="en-GB"/>
              <w14:ligatures w14:val="standardContextual"/>
            </w:rPr>
          </w:pPr>
          <w:hyperlink w:anchor="_Toc193873870" w:history="1">
            <w:r w:rsidRPr="000268FD">
              <w:rPr>
                <w:rStyle w:val="Hyperlink"/>
                <w:noProof/>
              </w:rPr>
              <w:t>5.4</w:t>
            </w:r>
            <w:r>
              <w:rPr>
                <w:noProof/>
                <w:kern w:val="2"/>
                <w:lang w:eastAsia="en-GB"/>
                <w14:ligatures w14:val="standardContextual"/>
              </w:rPr>
              <w:tab/>
            </w:r>
            <w:r w:rsidRPr="000268FD">
              <w:rPr>
                <w:rStyle w:val="Hyperlink"/>
                <w:noProof/>
              </w:rPr>
              <w:t>Nutrient limitation conditions</w:t>
            </w:r>
            <w:r>
              <w:rPr>
                <w:noProof/>
                <w:webHidden/>
              </w:rPr>
              <w:tab/>
            </w:r>
            <w:r>
              <w:rPr>
                <w:noProof/>
                <w:webHidden/>
              </w:rPr>
              <w:fldChar w:fldCharType="begin"/>
            </w:r>
            <w:r>
              <w:rPr>
                <w:noProof/>
                <w:webHidden/>
              </w:rPr>
              <w:instrText xml:space="preserve"> PAGEREF _Toc193873870 \h </w:instrText>
            </w:r>
            <w:r>
              <w:rPr>
                <w:noProof/>
                <w:webHidden/>
              </w:rPr>
            </w:r>
            <w:r>
              <w:rPr>
                <w:noProof/>
                <w:webHidden/>
              </w:rPr>
              <w:fldChar w:fldCharType="separate"/>
            </w:r>
            <w:r>
              <w:rPr>
                <w:noProof/>
                <w:webHidden/>
              </w:rPr>
              <w:t>17</w:t>
            </w:r>
            <w:r>
              <w:rPr>
                <w:noProof/>
                <w:webHidden/>
              </w:rPr>
              <w:fldChar w:fldCharType="end"/>
            </w:r>
          </w:hyperlink>
        </w:p>
        <w:p w14:paraId="1AB720D5" w14:textId="6E09829A" w:rsidR="00D954AD" w:rsidRDefault="00D954AD">
          <w:pPr>
            <w:pStyle w:val="TOC2"/>
            <w:tabs>
              <w:tab w:val="left" w:pos="960"/>
              <w:tab w:val="right" w:leader="dot" w:pos="10212"/>
            </w:tabs>
            <w:rPr>
              <w:noProof/>
              <w:kern w:val="2"/>
              <w:lang w:eastAsia="en-GB"/>
              <w14:ligatures w14:val="standardContextual"/>
            </w:rPr>
          </w:pPr>
          <w:hyperlink w:anchor="_Toc193873871" w:history="1">
            <w:r w:rsidRPr="000268FD">
              <w:rPr>
                <w:rStyle w:val="Hyperlink"/>
                <w:noProof/>
              </w:rPr>
              <w:t>5.5</w:t>
            </w:r>
            <w:r>
              <w:rPr>
                <w:noProof/>
                <w:kern w:val="2"/>
                <w:lang w:eastAsia="en-GB"/>
                <w14:ligatures w14:val="standardContextual"/>
              </w:rPr>
              <w:tab/>
            </w:r>
            <w:r w:rsidRPr="000268FD">
              <w:rPr>
                <w:rStyle w:val="Hyperlink"/>
                <w:noProof/>
              </w:rPr>
              <w:t>Discharge quality standard conditions</w:t>
            </w:r>
            <w:r>
              <w:rPr>
                <w:noProof/>
                <w:webHidden/>
              </w:rPr>
              <w:tab/>
            </w:r>
            <w:r>
              <w:rPr>
                <w:noProof/>
                <w:webHidden/>
              </w:rPr>
              <w:fldChar w:fldCharType="begin"/>
            </w:r>
            <w:r>
              <w:rPr>
                <w:noProof/>
                <w:webHidden/>
              </w:rPr>
              <w:instrText xml:space="preserve"> PAGEREF _Toc193873871 \h </w:instrText>
            </w:r>
            <w:r>
              <w:rPr>
                <w:noProof/>
                <w:webHidden/>
              </w:rPr>
            </w:r>
            <w:r>
              <w:rPr>
                <w:noProof/>
                <w:webHidden/>
              </w:rPr>
              <w:fldChar w:fldCharType="separate"/>
            </w:r>
            <w:r>
              <w:rPr>
                <w:noProof/>
                <w:webHidden/>
              </w:rPr>
              <w:t>17</w:t>
            </w:r>
            <w:r>
              <w:rPr>
                <w:noProof/>
                <w:webHidden/>
              </w:rPr>
              <w:fldChar w:fldCharType="end"/>
            </w:r>
          </w:hyperlink>
        </w:p>
        <w:p w14:paraId="7E735A6D" w14:textId="28BDACC8" w:rsidR="00D954AD" w:rsidRDefault="00D954AD">
          <w:pPr>
            <w:pStyle w:val="TOC3"/>
            <w:tabs>
              <w:tab w:val="left" w:pos="1440"/>
              <w:tab w:val="right" w:leader="dot" w:pos="10212"/>
            </w:tabs>
            <w:rPr>
              <w:noProof/>
              <w:kern w:val="2"/>
              <w:lang w:eastAsia="en-GB"/>
              <w14:ligatures w14:val="standardContextual"/>
            </w:rPr>
          </w:pPr>
          <w:hyperlink w:anchor="_Toc193873872" w:history="1">
            <w:r w:rsidRPr="000268FD">
              <w:rPr>
                <w:rStyle w:val="Hyperlink"/>
                <w:noProof/>
              </w:rPr>
              <w:t>5.5.1</w:t>
            </w:r>
            <w:r>
              <w:rPr>
                <w:noProof/>
                <w:kern w:val="2"/>
                <w:lang w:eastAsia="en-GB"/>
                <w14:ligatures w14:val="standardContextual"/>
              </w:rPr>
              <w:tab/>
            </w:r>
            <w:r w:rsidRPr="000268FD">
              <w:rPr>
                <w:rStyle w:val="Hyperlink"/>
                <w:noProof/>
              </w:rPr>
              <w:t>Use of instantaneous (spot) and composite conditions</w:t>
            </w:r>
            <w:r>
              <w:rPr>
                <w:noProof/>
                <w:webHidden/>
              </w:rPr>
              <w:tab/>
            </w:r>
            <w:r>
              <w:rPr>
                <w:noProof/>
                <w:webHidden/>
              </w:rPr>
              <w:fldChar w:fldCharType="begin"/>
            </w:r>
            <w:r>
              <w:rPr>
                <w:noProof/>
                <w:webHidden/>
              </w:rPr>
              <w:instrText xml:space="preserve"> PAGEREF _Toc193873872 \h </w:instrText>
            </w:r>
            <w:r>
              <w:rPr>
                <w:noProof/>
                <w:webHidden/>
              </w:rPr>
            </w:r>
            <w:r>
              <w:rPr>
                <w:noProof/>
                <w:webHidden/>
              </w:rPr>
              <w:fldChar w:fldCharType="separate"/>
            </w:r>
            <w:r>
              <w:rPr>
                <w:noProof/>
                <w:webHidden/>
              </w:rPr>
              <w:t>17</w:t>
            </w:r>
            <w:r>
              <w:rPr>
                <w:noProof/>
                <w:webHidden/>
              </w:rPr>
              <w:fldChar w:fldCharType="end"/>
            </w:r>
          </w:hyperlink>
        </w:p>
        <w:p w14:paraId="2A60F9A4" w14:textId="0A7EBB00" w:rsidR="00D954AD" w:rsidRDefault="00D954AD">
          <w:pPr>
            <w:pStyle w:val="TOC2"/>
            <w:tabs>
              <w:tab w:val="left" w:pos="960"/>
              <w:tab w:val="right" w:leader="dot" w:pos="10212"/>
            </w:tabs>
            <w:rPr>
              <w:noProof/>
              <w:kern w:val="2"/>
              <w:lang w:eastAsia="en-GB"/>
              <w14:ligatures w14:val="standardContextual"/>
            </w:rPr>
          </w:pPr>
          <w:hyperlink w:anchor="_Toc193873873" w:history="1">
            <w:r w:rsidRPr="000268FD">
              <w:rPr>
                <w:rStyle w:val="Hyperlink"/>
                <w:noProof/>
              </w:rPr>
              <w:t>5.6</w:t>
            </w:r>
            <w:r>
              <w:rPr>
                <w:noProof/>
                <w:kern w:val="2"/>
                <w:lang w:eastAsia="en-GB"/>
                <w14:ligatures w14:val="standardContextual"/>
              </w:rPr>
              <w:tab/>
            </w:r>
            <w:r w:rsidRPr="000268FD">
              <w:rPr>
                <w:rStyle w:val="Hyperlink"/>
                <w:noProof/>
              </w:rPr>
              <w:t>Composite samples</w:t>
            </w:r>
            <w:r>
              <w:rPr>
                <w:noProof/>
                <w:webHidden/>
              </w:rPr>
              <w:tab/>
            </w:r>
            <w:r>
              <w:rPr>
                <w:noProof/>
                <w:webHidden/>
              </w:rPr>
              <w:fldChar w:fldCharType="begin"/>
            </w:r>
            <w:r>
              <w:rPr>
                <w:noProof/>
                <w:webHidden/>
              </w:rPr>
              <w:instrText xml:space="preserve"> PAGEREF _Toc193873873 \h </w:instrText>
            </w:r>
            <w:r>
              <w:rPr>
                <w:noProof/>
                <w:webHidden/>
              </w:rPr>
            </w:r>
            <w:r>
              <w:rPr>
                <w:noProof/>
                <w:webHidden/>
              </w:rPr>
              <w:fldChar w:fldCharType="separate"/>
            </w:r>
            <w:r>
              <w:rPr>
                <w:noProof/>
                <w:webHidden/>
              </w:rPr>
              <w:t>24</w:t>
            </w:r>
            <w:r>
              <w:rPr>
                <w:noProof/>
                <w:webHidden/>
              </w:rPr>
              <w:fldChar w:fldCharType="end"/>
            </w:r>
          </w:hyperlink>
        </w:p>
        <w:p w14:paraId="6555CDBC" w14:textId="739822B8" w:rsidR="00D954AD" w:rsidRDefault="00D954AD">
          <w:pPr>
            <w:pStyle w:val="TOC3"/>
            <w:tabs>
              <w:tab w:val="left" w:pos="1440"/>
              <w:tab w:val="right" w:leader="dot" w:pos="10212"/>
            </w:tabs>
            <w:rPr>
              <w:noProof/>
              <w:kern w:val="2"/>
              <w:lang w:eastAsia="en-GB"/>
              <w14:ligatures w14:val="standardContextual"/>
            </w:rPr>
          </w:pPr>
          <w:hyperlink w:anchor="_Toc193873874" w:history="1">
            <w:r w:rsidRPr="000268FD">
              <w:rPr>
                <w:rStyle w:val="Hyperlink"/>
                <w:noProof/>
              </w:rPr>
              <w:t>5.6.1</w:t>
            </w:r>
            <w:r>
              <w:rPr>
                <w:noProof/>
                <w:kern w:val="2"/>
                <w:lang w:eastAsia="en-GB"/>
                <w14:ligatures w14:val="standardContextual"/>
              </w:rPr>
              <w:tab/>
            </w:r>
            <w:r w:rsidRPr="000268FD">
              <w:rPr>
                <w:rStyle w:val="Hyperlink"/>
                <w:noProof/>
              </w:rPr>
              <w:t>Types of composite samples</w:t>
            </w:r>
            <w:r>
              <w:rPr>
                <w:noProof/>
                <w:webHidden/>
              </w:rPr>
              <w:tab/>
            </w:r>
            <w:r>
              <w:rPr>
                <w:noProof/>
                <w:webHidden/>
              </w:rPr>
              <w:fldChar w:fldCharType="begin"/>
            </w:r>
            <w:r>
              <w:rPr>
                <w:noProof/>
                <w:webHidden/>
              </w:rPr>
              <w:instrText xml:space="preserve"> PAGEREF _Toc193873874 \h </w:instrText>
            </w:r>
            <w:r>
              <w:rPr>
                <w:noProof/>
                <w:webHidden/>
              </w:rPr>
            </w:r>
            <w:r>
              <w:rPr>
                <w:noProof/>
                <w:webHidden/>
              </w:rPr>
              <w:fldChar w:fldCharType="separate"/>
            </w:r>
            <w:r>
              <w:rPr>
                <w:noProof/>
                <w:webHidden/>
              </w:rPr>
              <w:t>24</w:t>
            </w:r>
            <w:r>
              <w:rPr>
                <w:noProof/>
                <w:webHidden/>
              </w:rPr>
              <w:fldChar w:fldCharType="end"/>
            </w:r>
          </w:hyperlink>
        </w:p>
        <w:p w14:paraId="27C2983D" w14:textId="5367EC8E" w:rsidR="00D954AD" w:rsidRDefault="00D954AD">
          <w:pPr>
            <w:pStyle w:val="TOC3"/>
            <w:tabs>
              <w:tab w:val="left" w:pos="1440"/>
              <w:tab w:val="right" w:leader="dot" w:pos="10212"/>
            </w:tabs>
            <w:rPr>
              <w:noProof/>
              <w:kern w:val="2"/>
              <w:lang w:eastAsia="en-GB"/>
              <w14:ligatures w14:val="standardContextual"/>
            </w:rPr>
          </w:pPr>
          <w:hyperlink w:anchor="_Toc193873875" w:history="1">
            <w:r w:rsidRPr="000268FD">
              <w:rPr>
                <w:rStyle w:val="Hyperlink"/>
                <w:noProof/>
              </w:rPr>
              <w:t>5.6.2</w:t>
            </w:r>
            <w:r>
              <w:rPr>
                <w:noProof/>
                <w:kern w:val="2"/>
                <w:lang w:eastAsia="en-GB"/>
                <w14:ligatures w14:val="standardContextual"/>
              </w:rPr>
              <w:tab/>
            </w:r>
            <w:r w:rsidRPr="000268FD">
              <w:rPr>
                <w:rStyle w:val="Hyperlink"/>
                <w:noProof/>
              </w:rPr>
              <w:t>Minimum sample volume</w:t>
            </w:r>
            <w:r>
              <w:rPr>
                <w:noProof/>
                <w:webHidden/>
              </w:rPr>
              <w:tab/>
            </w:r>
            <w:r>
              <w:rPr>
                <w:noProof/>
                <w:webHidden/>
              </w:rPr>
              <w:fldChar w:fldCharType="begin"/>
            </w:r>
            <w:r>
              <w:rPr>
                <w:noProof/>
                <w:webHidden/>
              </w:rPr>
              <w:instrText xml:space="preserve"> PAGEREF _Toc193873875 \h </w:instrText>
            </w:r>
            <w:r>
              <w:rPr>
                <w:noProof/>
                <w:webHidden/>
              </w:rPr>
            </w:r>
            <w:r>
              <w:rPr>
                <w:noProof/>
                <w:webHidden/>
              </w:rPr>
              <w:fldChar w:fldCharType="separate"/>
            </w:r>
            <w:r>
              <w:rPr>
                <w:noProof/>
                <w:webHidden/>
              </w:rPr>
              <w:t>25</w:t>
            </w:r>
            <w:r>
              <w:rPr>
                <w:noProof/>
                <w:webHidden/>
              </w:rPr>
              <w:fldChar w:fldCharType="end"/>
            </w:r>
          </w:hyperlink>
        </w:p>
        <w:p w14:paraId="6F57280F" w14:textId="16F42189" w:rsidR="00D954AD" w:rsidRDefault="00D954AD">
          <w:pPr>
            <w:pStyle w:val="TOC3"/>
            <w:tabs>
              <w:tab w:val="left" w:pos="1440"/>
              <w:tab w:val="right" w:leader="dot" w:pos="10212"/>
            </w:tabs>
            <w:rPr>
              <w:noProof/>
              <w:kern w:val="2"/>
              <w:lang w:eastAsia="en-GB"/>
              <w14:ligatures w14:val="standardContextual"/>
            </w:rPr>
          </w:pPr>
          <w:hyperlink w:anchor="_Toc193873876" w:history="1">
            <w:r w:rsidRPr="000268FD">
              <w:rPr>
                <w:rStyle w:val="Hyperlink"/>
                <w:noProof/>
              </w:rPr>
              <w:t>5.6.3</w:t>
            </w:r>
            <w:r>
              <w:rPr>
                <w:noProof/>
                <w:kern w:val="2"/>
                <w:lang w:eastAsia="en-GB"/>
                <w14:ligatures w14:val="standardContextual"/>
              </w:rPr>
              <w:tab/>
            </w:r>
            <w:r w:rsidRPr="000268FD">
              <w:rPr>
                <w:rStyle w:val="Hyperlink"/>
                <w:noProof/>
              </w:rPr>
              <w:t>Temperature requirements</w:t>
            </w:r>
            <w:r>
              <w:rPr>
                <w:noProof/>
                <w:webHidden/>
              </w:rPr>
              <w:tab/>
            </w:r>
            <w:r>
              <w:rPr>
                <w:noProof/>
                <w:webHidden/>
              </w:rPr>
              <w:fldChar w:fldCharType="begin"/>
            </w:r>
            <w:r>
              <w:rPr>
                <w:noProof/>
                <w:webHidden/>
              </w:rPr>
              <w:instrText xml:space="preserve"> PAGEREF _Toc193873876 \h </w:instrText>
            </w:r>
            <w:r>
              <w:rPr>
                <w:noProof/>
                <w:webHidden/>
              </w:rPr>
            </w:r>
            <w:r>
              <w:rPr>
                <w:noProof/>
                <w:webHidden/>
              </w:rPr>
              <w:fldChar w:fldCharType="separate"/>
            </w:r>
            <w:r>
              <w:rPr>
                <w:noProof/>
                <w:webHidden/>
              </w:rPr>
              <w:t>25</w:t>
            </w:r>
            <w:r>
              <w:rPr>
                <w:noProof/>
                <w:webHidden/>
              </w:rPr>
              <w:fldChar w:fldCharType="end"/>
            </w:r>
          </w:hyperlink>
        </w:p>
        <w:p w14:paraId="7DA8C7B9" w14:textId="50B2099B" w:rsidR="00D954AD" w:rsidRDefault="00D954AD">
          <w:pPr>
            <w:pStyle w:val="TOC1"/>
            <w:tabs>
              <w:tab w:val="left" w:pos="480"/>
              <w:tab w:val="right" w:leader="dot" w:pos="10212"/>
            </w:tabs>
            <w:rPr>
              <w:noProof/>
              <w:kern w:val="2"/>
              <w:lang w:eastAsia="en-GB"/>
              <w14:ligatures w14:val="standardContextual"/>
            </w:rPr>
          </w:pPr>
          <w:hyperlink w:anchor="_Toc193873877" w:history="1">
            <w:r w:rsidRPr="000268FD">
              <w:rPr>
                <w:rStyle w:val="Hyperlink"/>
                <w:noProof/>
              </w:rPr>
              <w:t>6.</w:t>
            </w:r>
            <w:r>
              <w:rPr>
                <w:noProof/>
                <w:kern w:val="2"/>
                <w:lang w:eastAsia="en-GB"/>
                <w14:ligatures w14:val="standardContextual"/>
              </w:rPr>
              <w:tab/>
            </w:r>
            <w:r w:rsidRPr="000268FD">
              <w:rPr>
                <w:rStyle w:val="Hyperlink"/>
                <w:noProof/>
              </w:rPr>
              <w:t>Chemical dosing and nutrient standards</w:t>
            </w:r>
            <w:r>
              <w:rPr>
                <w:noProof/>
                <w:webHidden/>
              </w:rPr>
              <w:tab/>
            </w:r>
            <w:r>
              <w:rPr>
                <w:noProof/>
                <w:webHidden/>
              </w:rPr>
              <w:fldChar w:fldCharType="begin"/>
            </w:r>
            <w:r>
              <w:rPr>
                <w:noProof/>
                <w:webHidden/>
              </w:rPr>
              <w:instrText xml:space="preserve"> PAGEREF _Toc193873877 \h </w:instrText>
            </w:r>
            <w:r>
              <w:rPr>
                <w:noProof/>
                <w:webHidden/>
              </w:rPr>
            </w:r>
            <w:r>
              <w:rPr>
                <w:noProof/>
                <w:webHidden/>
              </w:rPr>
              <w:fldChar w:fldCharType="separate"/>
            </w:r>
            <w:r>
              <w:rPr>
                <w:noProof/>
                <w:webHidden/>
              </w:rPr>
              <w:t>25</w:t>
            </w:r>
            <w:r>
              <w:rPr>
                <w:noProof/>
                <w:webHidden/>
              </w:rPr>
              <w:fldChar w:fldCharType="end"/>
            </w:r>
          </w:hyperlink>
        </w:p>
        <w:p w14:paraId="4F030336" w14:textId="0FA88E01" w:rsidR="00D954AD" w:rsidRDefault="00D954AD">
          <w:pPr>
            <w:pStyle w:val="TOC2"/>
            <w:tabs>
              <w:tab w:val="left" w:pos="960"/>
              <w:tab w:val="right" w:leader="dot" w:pos="10212"/>
            </w:tabs>
            <w:rPr>
              <w:noProof/>
              <w:kern w:val="2"/>
              <w:lang w:eastAsia="en-GB"/>
              <w14:ligatures w14:val="standardContextual"/>
            </w:rPr>
          </w:pPr>
          <w:hyperlink w:anchor="_Toc193873878" w:history="1">
            <w:r w:rsidRPr="000268FD">
              <w:rPr>
                <w:rStyle w:val="Hyperlink"/>
                <w:noProof/>
              </w:rPr>
              <w:t>6.1</w:t>
            </w:r>
            <w:r>
              <w:rPr>
                <w:noProof/>
                <w:kern w:val="2"/>
                <w:lang w:eastAsia="en-GB"/>
                <w14:ligatures w14:val="standardContextual"/>
              </w:rPr>
              <w:tab/>
            </w:r>
            <w:r w:rsidRPr="000268FD">
              <w:rPr>
                <w:rStyle w:val="Hyperlink"/>
                <w:noProof/>
              </w:rPr>
              <w:t>Chemical dosing</w:t>
            </w:r>
            <w:r>
              <w:rPr>
                <w:noProof/>
                <w:webHidden/>
              </w:rPr>
              <w:tab/>
            </w:r>
            <w:r>
              <w:rPr>
                <w:noProof/>
                <w:webHidden/>
              </w:rPr>
              <w:fldChar w:fldCharType="begin"/>
            </w:r>
            <w:r>
              <w:rPr>
                <w:noProof/>
                <w:webHidden/>
              </w:rPr>
              <w:instrText xml:space="preserve"> PAGEREF _Toc193873878 \h </w:instrText>
            </w:r>
            <w:r>
              <w:rPr>
                <w:noProof/>
                <w:webHidden/>
              </w:rPr>
            </w:r>
            <w:r>
              <w:rPr>
                <w:noProof/>
                <w:webHidden/>
              </w:rPr>
              <w:fldChar w:fldCharType="separate"/>
            </w:r>
            <w:r>
              <w:rPr>
                <w:noProof/>
                <w:webHidden/>
              </w:rPr>
              <w:t>25</w:t>
            </w:r>
            <w:r>
              <w:rPr>
                <w:noProof/>
                <w:webHidden/>
              </w:rPr>
              <w:fldChar w:fldCharType="end"/>
            </w:r>
          </w:hyperlink>
        </w:p>
        <w:p w14:paraId="419F03F6" w14:textId="0DED300E" w:rsidR="00D954AD" w:rsidRDefault="00D954AD">
          <w:pPr>
            <w:pStyle w:val="TOC3"/>
            <w:tabs>
              <w:tab w:val="left" w:pos="1440"/>
              <w:tab w:val="right" w:leader="dot" w:pos="10212"/>
            </w:tabs>
            <w:rPr>
              <w:noProof/>
              <w:kern w:val="2"/>
              <w:lang w:eastAsia="en-GB"/>
              <w14:ligatures w14:val="standardContextual"/>
            </w:rPr>
          </w:pPr>
          <w:hyperlink w:anchor="_Toc193873879" w:history="1">
            <w:r w:rsidRPr="000268FD">
              <w:rPr>
                <w:rStyle w:val="Hyperlink"/>
                <w:noProof/>
              </w:rPr>
              <w:t>6.1.1</w:t>
            </w:r>
            <w:r>
              <w:rPr>
                <w:noProof/>
                <w:kern w:val="2"/>
                <w:lang w:eastAsia="en-GB"/>
                <w14:ligatures w14:val="standardContextual"/>
              </w:rPr>
              <w:tab/>
            </w:r>
            <w:r w:rsidRPr="000268FD">
              <w:rPr>
                <w:rStyle w:val="Hyperlink"/>
                <w:noProof/>
              </w:rPr>
              <w:t>Chemical types</w:t>
            </w:r>
            <w:r>
              <w:rPr>
                <w:noProof/>
                <w:webHidden/>
              </w:rPr>
              <w:tab/>
            </w:r>
            <w:r>
              <w:rPr>
                <w:noProof/>
                <w:webHidden/>
              </w:rPr>
              <w:fldChar w:fldCharType="begin"/>
            </w:r>
            <w:r>
              <w:rPr>
                <w:noProof/>
                <w:webHidden/>
              </w:rPr>
              <w:instrText xml:space="preserve"> PAGEREF _Toc193873879 \h </w:instrText>
            </w:r>
            <w:r>
              <w:rPr>
                <w:noProof/>
                <w:webHidden/>
              </w:rPr>
            </w:r>
            <w:r>
              <w:rPr>
                <w:noProof/>
                <w:webHidden/>
              </w:rPr>
              <w:fldChar w:fldCharType="separate"/>
            </w:r>
            <w:r>
              <w:rPr>
                <w:noProof/>
                <w:webHidden/>
              </w:rPr>
              <w:t>26</w:t>
            </w:r>
            <w:r>
              <w:rPr>
                <w:noProof/>
                <w:webHidden/>
              </w:rPr>
              <w:fldChar w:fldCharType="end"/>
            </w:r>
          </w:hyperlink>
        </w:p>
        <w:p w14:paraId="0C67C9F0" w14:textId="647436B1" w:rsidR="00D954AD" w:rsidRDefault="00D954AD">
          <w:pPr>
            <w:pStyle w:val="TOC3"/>
            <w:tabs>
              <w:tab w:val="left" w:pos="1440"/>
              <w:tab w:val="right" w:leader="dot" w:pos="10212"/>
            </w:tabs>
            <w:rPr>
              <w:noProof/>
              <w:kern w:val="2"/>
              <w:lang w:eastAsia="en-GB"/>
              <w14:ligatures w14:val="standardContextual"/>
            </w:rPr>
          </w:pPr>
          <w:hyperlink w:anchor="_Toc193873880" w:history="1">
            <w:r w:rsidRPr="000268FD">
              <w:rPr>
                <w:rStyle w:val="Hyperlink"/>
                <w:noProof/>
              </w:rPr>
              <w:t>6.1.2</w:t>
            </w:r>
            <w:r>
              <w:rPr>
                <w:noProof/>
                <w:kern w:val="2"/>
                <w:lang w:eastAsia="en-GB"/>
                <w14:ligatures w14:val="standardContextual"/>
              </w:rPr>
              <w:tab/>
            </w:r>
            <w:r w:rsidRPr="000268FD">
              <w:rPr>
                <w:rStyle w:val="Hyperlink"/>
                <w:noProof/>
              </w:rPr>
              <w:t>Chemical use</w:t>
            </w:r>
            <w:r>
              <w:rPr>
                <w:noProof/>
                <w:webHidden/>
              </w:rPr>
              <w:tab/>
            </w:r>
            <w:r>
              <w:rPr>
                <w:noProof/>
                <w:webHidden/>
              </w:rPr>
              <w:fldChar w:fldCharType="begin"/>
            </w:r>
            <w:r>
              <w:rPr>
                <w:noProof/>
                <w:webHidden/>
              </w:rPr>
              <w:instrText xml:space="preserve"> PAGEREF _Toc193873880 \h </w:instrText>
            </w:r>
            <w:r>
              <w:rPr>
                <w:noProof/>
                <w:webHidden/>
              </w:rPr>
            </w:r>
            <w:r>
              <w:rPr>
                <w:noProof/>
                <w:webHidden/>
              </w:rPr>
              <w:fldChar w:fldCharType="separate"/>
            </w:r>
            <w:r>
              <w:rPr>
                <w:noProof/>
                <w:webHidden/>
              </w:rPr>
              <w:t>26</w:t>
            </w:r>
            <w:r>
              <w:rPr>
                <w:noProof/>
                <w:webHidden/>
              </w:rPr>
              <w:fldChar w:fldCharType="end"/>
            </w:r>
          </w:hyperlink>
        </w:p>
        <w:p w14:paraId="04BAC04D" w14:textId="19E72FBE" w:rsidR="00D954AD" w:rsidRDefault="00D954AD">
          <w:pPr>
            <w:pStyle w:val="TOC3"/>
            <w:tabs>
              <w:tab w:val="left" w:pos="1440"/>
              <w:tab w:val="right" w:leader="dot" w:pos="10212"/>
            </w:tabs>
            <w:rPr>
              <w:noProof/>
              <w:kern w:val="2"/>
              <w:lang w:eastAsia="en-GB"/>
              <w14:ligatures w14:val="standardContextual"/>
            </w:rPr>
          </w:pPr>
          <w:hyperlink w:anchor="_Toc193873881" w:history="1">
            <w:r w:rsidRPr="000268FD">
              <w:rPr>
                <w:rStyle w:val="Hyperlink"/>
                <w:noProof/>
              </w:rPr>
              <w:t>6.1.3</w:t>
            </w:r>
            <w:r>
              <w:rPr>
                <w:noProof/>
                <w:kern w:val="2"/>
                <w:lang w:eastAsia="en-GB"/>
                <w14:ligatures w14:val="standardContextual"/>
              </w:rPr>
              <w:tab/>
            </w:r>
            <w:r w:rsidRPr="000268FD">
              <w:rPr>
                <w:rStyle w:val="Hyperlink"/>
                <w:noProof/>
              </w:rPr>
              <w:t xml:space="preserve"> Ferric dosing</w:t>
            </w:r>
            <w:r>
              <w:rPr>
                <w:noProof/>
                <w:webHidden/>
              </w:rPr>
              <w:tab/>
            </w:r>
            <w:r>
              <w:rPr>
                <w:noProof/>
                <w:webHidden/>
              </w:rPr>
              <w:fldChar w:fldCharType="begin"/>
            </w:r>
            <w:r>
              <w:rPr>
                <w:noProof/>
                <w:webHidden/>
              </w:rPr>
              <w:instrText xml:space="preserve"> PAGEREF _Toc193873881 \h </w:instrText>
            </w:r>
            <w:r>
              <w:rPr>
                <w:noProof/>
                <w:webHidden/>
              </w:rPr>
            </w:r>
            <w:r>
              <w:rPr>
                <w:noProof/>
                <w:webHidden/>
              </w:rPr>
              <w:fldChar w:fldCharType="separate"/>
            </w:r>
            <w:r>
              <w:rPr>
                <w:noProof/>
                <w:webHidden/>
              </w:rPr>
              <w:t>27</w:t>
            </w:r>
            <w:r>
              <w:rPr>
                <w:noProof/>
                <w:webHidden/>
              </w:rPr>
              <w:fldChar w:fldCharType="end"/>
            </w:r>
          </w:hyperlink>
        </w:p>
        <w:p w14:paraId="0B7001B9" w14:textId="36979A50" w:rsidR="00D954AD" w:rsidRDefault="00D954AD">
          <w:pPr>
            <w:pStyle w:val="TOC3"/>
            <w:tabs>
              <w:tab w:val="left" w:pos="1440"/>
              <w:tab w:val="right" w:leader="dot" w:pos="10212"/>
            </w:tabs>
            <w:rPr>
              <w:noProof/>
              <w:kern w:val="2"/>
              <w:lang w:eastAsia="en-GB"/>
              <w14:ligatures w14:val="standardContextual"/>
            </w:rPr>
          </w:pPr>
          <w:hyperlink w:anchor="_Toc193873882" w:history="1">
            <w:r w:rsidRPr="000268FD">
              <w:rPr>
                <w:rStyle w:val="Hyperlink"/>
                <w:noProof/>
              </w:rPr>
              <w:t>6.1.4</w:t>
            </w:r>
            <w:r>
              <w:rPr>
                <w:noProof/>
                <w:kern w:val="2"/>
                <w:lang w:eastAsia="en-GB"/>
                <w14:ligatures w14:val="standardContextual"/>
              </w:rPr>
              <w:tab/>
            </w:r>
            <w:r w:rsidRPr="000268FD">
              <w:rPr>
                <w:rStyle w:val="Hyperlink"/>
                <w:noProof/>
              </w:rPr>
              <w:t>Aluminium dosing</w:t>
            </w:r>
            <w:r>
              <w:rPr>
                <w:noProof/>
                <w:webHidden/>
              </w:rPr>
              <w:tab/>
            </w:r>
            <w:r>
              <w:rPr>
                <w:noProof/>
                <w:webHidden/>
              </w:rPr>
              <w:fldChar w:fldCharType="begin"/>
            </w:r>
            <w:r>
              <w:rPr>
                <w:noProof/>
                <w:webHidden/>
              </w:rPr>
              <w:instrText xml:space="preserve"> PAGEREF _Toc193873882 \h </w:instrText>
            </w:r>
            <w:r>
              <w:rPr>
                <w:noProof/>
                <w:webHidden/>
              </w:rPr>
            </w:r>
            <w:r>
              <w:rPr>
                <w:noProof/>
                <w:webHidden/>
              </w:rPr>
              <w:fldChar w:fldCharType="separate"/>
            </w:r>
            <w:r>
              <w:rPr>
                <w:noProof/>
                <w:webHidden/>
              </w:rPr>
              <w:t>28</w:t>
            </w:r>
            <w:r>
              <w:rPr>
                <w:noProof/>
                <w:webHidden/>
              </w:rPr>
              <w:fldChar w:fldCharType="end"/>
            </w:r>
          </w:hyperlink>
        </w:p>
        <w:p w14:paraId="62FECF13" w14:textId="3FE711F3" w:rsidR="00D954AD" w:rsidRDefault="00D954AD">
          <w:pPr>
            <w:pStyle w:val="TOC2"/>
            <w:tabs>
              <w:tab w:val="left" w:pos="960"/>
              <w:tab w:val="right" w:leader="dot" w:pos="10212"/>
            </w:tabs>
            <w:rPr>
              <w:noProof/>
              <w:kern w:val="2"/>
              <w:lang w:eastAsia="en-GB"/>
              <w14:ligatures w14:val="standardContextual"/>
            </w:rPr>
          </w:pPr>
          <w:hyperlink w:anchor="_Toc193873883" w:history="1">
            <w:r w:rsidRPr="000268FD">
              <w:rPr>
                <w:rStyle w:val="Hyperlink"/>
                <w:noProof/>
              </w:rPr>
              <w:t>6.2</w:t>
            </w:r>
            <w:r>
              <w:rPr>
                <w:noProof/>
                <w:kern w:val="2"/>
                <w:lang w:eastAsia="en-GB"/>
                <w14:ligatures w14:val="standardContextual"/>
              </w:rPr>
              <w:tab/>
            </w:r>
            <w:r w:rsidRPr="000268FD">
              <w:rPr>
                <w:rStyle w:val="Hyperlink"/>
                <w:noProof/>
              </w:rPr>
              <w:t>Reactive phosphorus (RP)</w:t>
            </w:r>
            <w:r>
              <w:rPr>
                <w:noProof/>
                <w:webHidden/>
              </w:rPr>
              <w:tab/>
            </w:r>
            <w:r>
              <w:rPr>
                <w:noProof/>
                <w:webHidden/>
              </w:rPr>
              <w:fldChar w:fldCharType="begin"/>
            </w:r>
            <w:r>
              <w:rPr>
                <w:noProof/>
                <w:webHidden/>
              </w:rPr>
              <w:instrText xml:space="preserve"> PAGEREF _Toc193873883 \h </w:instrText>
            </w:r>
            <w:r>
              <w:rPr>
                <w:noProof/>
                <w:webHidden/>
              </w:rPr>
            </w:r>
            <w:r>
              <w:rPr>
                <w:noProof/>
                <w:webHidden/>
              </w:rPr>
              <w:fldChar w:fldCharType="separate"/>
            </w:r>
            <w:r>
              <w:rPr>
                <w:noProof/>
                <w:webHidden/>
              </w:rPr>
              <w:t>28</w:t>
            </w:r>
            <w:r>
              <w:rPr>
                <w:noProof/>
                <w:webHidden/>
              </w:rPr>
              <w:fldChar w:fldCharType="end"/>
            </w:r>
          </w:hyperlink>
        </w:p>
        <w:p w14:paraId="645B06EF" w14:textId="489C14DB" w:rsidR="00D954AD" w:rsidRDefault="00D954AD">
          <w:pPr>
            <w:pStyle w:val="TOC2"/>
            <w:tabs>
              <w:tab w:val="left" w:pos="960"/>
              <w:tab w:val="right" w:leader="dot" w:pos="10212"/>
            </w:tabs>
            <w:rPr>
              <w:noProof/>
              <w:kern w:val="2"/>
              <w:lang w:eastAsia="en-GB"/>
              <w14:ligatures w14:val="standardContextual"/>
            </w:rPr>
          </w:pPr>
          <w:hyperlink w:anchor="_Toc193873884" w:history="1">
            <w:r w:rsidRPr="000268FD">
              <w:rPr>
                <w:rStyle w:val="Hyperlink"/>
                <w:noProof/>
              </w:rPr>
              <w:t>6.3</w:t>
            </w:r>
            <w:r>
              <w:rPr>
                <w:noProof/>
                <w:kern w:val="2"/>
                <w:lang w:eastAsia="en-GB"/>
                <w14:ligatures w14:val="standardContextual"/>
              </w:rPr>
              <w:tab/>
            </w:r>
            <w:r w:rsidRPr="000268FD">
              <w:rPr>
                <w:rStyle w:val="Hyperlink"/>
                <w:noProof/>
              </w:rPr>
              <w:t>Total phosphorus (TP)</w:t>
            </w:r>
            <w:r>
              <w:rPr>
                <w:noProof/>
                <w:webHidden/>
              </w:rPr>
              <w:tab/>
            </w:r>
            <w:r>
              <w:rPr>
                <w:noProof/>
                <w:webHidden/>
              </w:rPr>
              <w:fldChar w:fldCharType="begin"/>
            </w:r>
            <w:r>
              <w:rPr>
                <w:noProof/>
                <w:webHidden/>
              </w:rPr>
              <w:instrText xml:space="preserve"> PAGEREF _Toc193873884 \h </w:instrText>
            </w:r>
            <w:r>
              <w:rPr>
                <w:noProof/>
                <w:webHidden/>
              </w:rPr>
            </w:r>
            <w:r>
              <w:rPr>
                <w:noProof/>
                <w:webHidden/>
              </w:rPr>
              <w:fldChar w:fldCharType="separate"/>
            </w:r>
            <w:r>
              <w:rPr>
                <w:noProof/>
                <w:webHidden/>
              </w:rPr>
              <w:t>28</w:t>
            </w:r>
            <w:r>
              <w:rPr>
                <w:noProof/>
                <w:webHidden/>
              </w:rPr>
              <w:fldChar w:fldCharType="end"/>
            </w:r>
          </w:hyperlink>
        </w:p>
        <w:p w14:paraId="1325E268" w14:textId="78B2C404" w:rsidR="00D954AD" w:rsidRDefault="00D954AD">
          <w:pPr>
            <w:pStyle w:val="TOC2"/>
            <w:tabs>
              <w:tab w:val="left" w:pos="960"/>
              <w:tab w:val="right" w:leader="dot" w:pos="10212"/>
            </w:tabs>
            <w:rPr>
              <w:noProof/>
              <w:kern w:val="2"/>
              <w:lang w:eastAsia="en-GB"/>
              <w14:ligatures w14:val="standardContextual"/>
            </w:rPr>
          </w:pPr>
          <w:hyperlink w:anchor="_Toc193873885" w:history="1">
            <w:r w:rsidRPr="000268FD">
              <w:rPr>
                <w:rStyle w:val="Hyperlink"/>
                <w:noProof/>
              </w:rPr>
              <w:t>6.4</w:t>
            </w:r>
            <w:r>
              <w:rPr>
                <w:noProof/>
                <w:kern w:val="2"/>
                <w:lang w:eastAsia="en-GB"/>
                <w14:ligatures w14:val="standardContextual"/>
              </w:rPr>
              <w:tab/>
            </w:r>
            <w:r w:rsidRPr="000268FD">
              <w:rPr>
                <w:rStyle w:val="Hyperlink"/>
                <w:noProof/>
              </w:rPr>
              <w:t>Summary of phosphorus permit conditions</w:t>
            </w:r>
            <w:r>
              <w:rPr>
                <w:noProof/>
                <w:webHidden/>
              </w:rPr>
              <w:tab/>
            </w:r>
            <w:r>
              <w:rPr>
                <w:noProof/>
                <w:webHidden/>
              </w:rPr>
              <w:fldChar w:fldCharType="begin"/>
            </w:r>
            <w:r>
              <w:rPr>
                <w:noProof/>
                <w:webHidden/>
              </w:rPr>
              <w:instrText xml:space="preserve"> PAGEREF _Toc193873885 \h </w:instrText>
            </w:r>
            <w:r>
              <w:rPr>
                <w:noProof/>
                <w:webHidden/>
              </w:rPr>
            </w:r>
            <w:r>
              <w:rPr>
                <w:noProof/>
                <w:webHidden/>
              </w:rPr>
              <w:fldChar w:fldCharType="separate"/>
            </w:r>
            <w:r>
              <w:rPr>
                <w:noProof/>
                <w:webHidden/>
              </w:rPr>
              <w:t>29</w:t>
            </w:r>
            <w:r>
              <w:rPr>
                <w:noProof/>
                <w:webHidden/>
              </w:rPr>
              <w:fldChar w:fldCharType="end"/>
            </w:r>
          </w:hyperlink>
        </w:p>
        <w:p w14:paraId="2F6B729E" w14:textId="3C94731E" w:rsidR="00D954AD" w:rsidRDefault="00D954AD">
          <w:pPr>
            <w:pStyle w:val="TOC2"/>
            <w:tabs>
              <w:tab w:val="left" w:pos="960"/>
              <w:tab w:val="right" w:leader="dot" w:pos="10212"/>
            </w:tabs>
            <w:rPr>
              <w:noProof/>
              <w:kern w:val="2"/>
              <w:lang w:eastAsia="en-GB"/>
              <w14:ligatures w14:val="standardContextual"/>
            </w:rPr>
          </w:pPr>
          <w:hyperlink w:anchor="_Toc193873886" w:history="1">
            <w:r w:rsidRPr="000268FD">
              <w:rPr>
                <w:rStyle w:val="Hyperlink"/>
                <w:noProof/>
              </w:rPr>
              <w:t>6.5</w:t>
            </w:r>
            <w:r>
              <w:rPr>
                <w:noProof/>
                <w:kern w:val="2"/>
                <w:lang w:eastAsia="en-GB"/>
                <w14:ligatures w14:val="standardContextual"/>
              </w:rPr>
              <w:tab/>
            </w:r>
            <w:r w:rsidRPr="000268FD">
              <w:rPr>
                <w:rStyle w:val="Hyperlink"/>
                <w:noProof/>
              </w:rPr>
              <w:t>Total Nitrogen (TN)</w:t>
            </w:r>
            <w:r>
              <w:rPr>
                <w:noProof/>
                <w:webHidden/>
              </w:rPr>
              <w:tab/>
            </w:r>
            <w:r>
              <w:rPr>
                <w:noProof/>
                <w:webHidden/>
              </w:rPr>
              <w:fldChar w:fldCharType="begin"/>
            </w:r>
            <w:r>
              <w:rPr>
                <w:noProof/>
                <w:webHidden/>
              </w:rPr>
              <w:instrText xml:space="preserve"> PAGEREF _Toc193873886 \h </w:instrText>
            </w:r>
            <w:r>
              <w:rPr>
                <w:noProof/>
                <w:webHidden/>
              </w:rPr>
            </w:r>
            <w:r>
              <w:rPr>
                <w:noProof/>
                <w:webHidden/>
              </w:rPr>
              <w:fldChar w:fldCharType="separate"/>
            </w:r>
            <w:r>
              <w:rPr>
                <w:noProof/>
                <w:webHidden/>
              </w:rPr>
              <w:t>30</w:t>
            </w:r>
            <w:r>
              <w:rPr>
                <w:noProof/>
                <w:webHidden/>
              </w:rPr>
              <w:fldChar w:fldCharType="end"/>
            </w:r>
          </w:hyperlink>
        </w:p>
        <w:p w14:paraId="4818F223" w14:textId="2B1D8844" w:rsidR="00D954AD" w:rsidRDefault="00D954AD">
          <w:pPr>
            <w:pStyle w:val="TOC1"/>
            <w:tabs>
              <w:tab w:val="right" w:leader="dot" w:pos="10212"/>
            </w:tabs>
            <w:rPr>
              <w:noProof/>
              <w:kern w:val="2"/>
              <w:lang w:eastAsia="en-GB"/>
              <w14:ligatures w14:val="standardContextual"/>
            </w:rPr>
          </w:pPr>
          <w:hyperlink w:anchor="_Toc193873887" w:history="1">
            <w:r w:rsidRPr="000268FD">
              <w:rPr>
                <w:rStyle w:val="Hyperlink"/>
                <w:noProof/>
              </w:rPr>
              <w:t>Disclaimer</w:t>
            </w:r>
            <w:r>
              <w:rPr>
                <w:noProof/>
                <w:webHidden/>
              </w:rPr>
              <w:tab/>
            </w:r>
            <w:r>
              <w:rPr>
                <w:noProof/>
                <w:webHidden/>
              </w:rPr>
              <w:fldChar w:fldCharType="begin"/>
            </w:r>
            <w:r>
              <w:rPr>
                <w:noProof/>
                <w:webHidden/>
              </w:rPr>
              <w:instrText xml:space="preserve"> PAGEREF _Toc193873887 \h </w:instrText>
            </w:r>
            <w:r>
              <w:rPr>
                <w:noProof/>
                <w:webHidden/>
              </w:rPr>
            </w:r>
            <w:r>
              <w:rPr>
                <w:noProof/>
                <w:webHidden/>
              </w:rPr>
              <w:fldChar w:fldCharType="separate"/>
            </w:r>
            <w:r>
              <w:rPr>
                <w:noProof/>
                <w:webHidden/>
              </w:rPr>
              <w:t>30</w:t>
            </w:r>
            <w:r>
              <w:rPr>
                <w:noProof/>
                <w:webHidden/>
              </w:rPr>
              <w:fldChar w:fldCharType="end"/>
            </w:r>
          </w:hyperlink>
        </w:p>
        <w:p w14:paraId="17F0B456" w14:textId="000E0149" w:rsidR="00106098" w:rsidRDefault="00191CFA" w:rsidP="00191CFA">
          <w:pPr>
            <w:rPr>
              <w:b/>
              <w:bCs/>
              <w:noProof/>
            </w:rPr>
          </w:pPr>
          <w:r>
            <w:rPr>
              <w:b/>
              <w:bCs/>
              <w:noProof/>
            </w:rPr>
            <w:fldChar w:fldCharType="end"/>
          </w:r>
        </w:p>
        <w:p w14:paraId="3163580F" w14:textId="63D5B0E9" w:rsidR="00A368C6" w:rsidRDefault="008B26B8" w:rsidP="00191CFA"/>
      </w:sdtContent>
    </w:sdt>
    <w:p w14:paraId="6B4EE1A7" w14:textId="77777777" w:rsidR="003C064E" w:rsidRDefault="003C064E" w:rsidP="003C064E">
      <w:pPr>
        <w:rPr>
          <w:rFonts w:eastAsia="Times New Roman"/>
          <w:sz w:val="32"/>
          <w:szCs w:val="32"/>
        </w:rPr>
      </w:pPr>
      <w:bookmarkStart w:id="0" w:name="_Toc184195271"/>
    </w:p>
    <w:p w14:paraId="7894F7B1" w14:textId="77777777" w:rsidR="003C064E" w:rsidRDefault="003C064E" w:rsidP="003C064E">
      <w:pPr>
        <w:rPr>
          <w:rFonts w:eastAsia="Times New Roman"/>
          <w:sz w:val="32"/>
          <w:szCs w:val="32"/>
        </w:rPr>
      </w:pPr>
    </w:p>
    <w:p w14:paraId="42C590D2" w14:textId="77777777" w:rsidR="003C064E" w:rsidRDefault="003C064E" w:rsidP="003C064E">
      <w:pPr>
        <w:rPr>
          <w:rFonts w:eastAsia="Times New Roman"/>
          <w:sz w:val="32"/>
          <w:szCs w:val="32"/>
        </w:rPr>
      </w:pPr>
    </w:p>
    <w:p w14:paraId="45DCC823" w14:textId="77777777" w:rsidR="003C064E" w:rsidRDefault="003C064E" w:rsidP="003C064E">
      <w:pPr>
        <w:rPr>
          <w:rFonts w:eastAsia="Times New Roman"/>
          <w:sz w:val="32"/>
          <w:szCs w:val="32"/>
        </w:rPr>
      </w:pPr>
    </w:p>
    <w:p w14:paraId="307CCDD2" w14:textId="77777777" w:rsidR="003C064E" w:rsidRDefault="003C064E" w:rsidP="003C064E">
      <w:pPr>
        <w:rPr>
          <w:rFonts w:eastAsia="Times New Roman"/>
          <w:sz w:val="32"/>
          <w:szCs w:val="32"/>
        </w:rPr>
      </w:pPr>
    </w:p>
    <w:p w14:paraId="37121E22" w14:textId="77777777" w:rsidR="003C064E" w:rsidRDefault="003C064E" w:rsidP="003C064E">
      <w:pPr>
        <w:rPr>
          <w:rFonts w:eastAsia="Times New Roman"/>
          <w:sz w:val="32"/>
          <w:szCs w:val="32"/>
        </w:rPr>
      </w:pPr>
    </w:p>
    <w:p w14:paraId="1B34F258" w14:textId="77777777" w:rsidR="003C064E" w:rsidRDefault="003C064E" w:rsidP="003C064E">
      <w:pPr>
        <w:rPr>
          <w:rFonts w:eastAsia="Times New Roman"/>
          <w:sz w:val="32"/>
          <w:szCs w:val="32"/>
        </w:rPr>
      </w:pPr>
    </w:p>
    <w:p w14:paraId="4EDD6448" w14:textId="77777777" w:rsidR="003C064E" w:rsidRDefault="003C064E" w:rsidP="003C064E">
      <w:pPr>
        <w:rPr>
          <w:rFonts w:eastAsia="Times New Roman"/>
          <w:sz w:val="32"/>
          <w:szCs w:val="32"/>
        </w:rPr>
      </w:pPr>
    </w:p>
    <w:p w14:paraId="6F04AA6B" w14:textId="77777777" w:rsidR="003C064E" w:rsidRDefault="003C064E" w:rsidP="003C064E">
      <w:pPr>
        <w:rPr>
          <w:rFonts w:eastAsia="Times New Roman"/>
          <w:sz w:val="32"/>
          <w:szCs w:val="32"/>
        </w:rPr>
      </w:pPr>
    </w:p>
    <w:p w14:paraId="35851094" w14:textId="77777777" w:rsidR="003C064E" w:rsidRDefault="003C064E" w:rsidP="003C064E">
      <w:pPr>
        <w:rPr>
          <w:rFonts w:eastAsia="Times New Roman"/>
          <w:sz w:val="32"/>
          <w:szCs w:val="32"/>
        </w:rPr>
      </w:pPr>
    </w:p>
    <w:p w14:paraId="5C734401" w14:textId="77777777" w:rsidR="003C064E" w:rsidRDefault="003C064E" w:rsidP="003C064E">
      <w:pPr>
        <w:rPr>
          <w:rFonts w:eastAsia="Times New Roman"/>
          <w:sz w:val="32"/>
          <w:szCs w:val="32"/>
        </w:rPr>
      </w:pPr>
    </w:p>
    <w:p w14:paraId="4B7BBE4A" w14:textId="77777777" w:rsidR="003C064E" w:rsidRDefault="003C064E" w:rsidP="003C064E">
      <w:pPr>
        <w:rPr>
          <w:rFonts w:eastAsia="Times New Roman"/>
          <w:sz w:val="32"/>
          <w:szCs w:val="32"/>
        </w:rPr>
      </w:pPr>
    </w:p>
    <w:p w14:paraId="28139D80" w14:textId="0EDC1D1E" w:rsidR="00106098" w:rsidRDefault="00106098" w:rsidP="003C064E">
      <w:pPr>
        <w:rPr>
          <w:rFonts w:eastAsia="Times New Roman"/>
          <w:sz w:val="32"/>
          <w:szCs w:val="32"/>
        </w:rPr>
      </w:pPr>
    </w:p>
    <w:p w14:paraId="06A40ABA" w14:textId="77777777" w:rsidR="007B03E0" w:rsidRDefault="007B03E0" w:rsidP="007B03E0">
      <w:pPr>
        <w:rPr>
          <w:rFonts w:eastAsia="Times New Roman"/>
          <w:sz w:val="32"/>
          <w:szCs w:val="32"/>
        </w:rPr>
      </w:pPr>
    </w:p>
    <w:p w14:paraId="5E3C2B27" w14:textId="77777777" w:rsidR="007B03E0" w:rsidRPr="00EA7C0E" w:rsidRDefault="007B03E0" w:rsidP="003C064E">
      <w:pPr>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693B352D" w14:textId="6ECD630A" w:rsidR="00A368C6" w:rsidRPr="00D42336" w:rsidRDefault="00842667" w:rsidP="00842667">
      <w:pPr>
        <w:pStyle w:val="Heading1"/>
      </w:pPr>
      <w:bookmarkStart w:id="1" w:name="_Toc193873831"/>
      <w:r>
        <w:lastRenderedPageBreak/>
        <w:t>1</w:t>
      </w:r>
      <w:r w:rsidR="002465C8" w:rsidRPr="00D42336">
        <w:t xml:space="preserve"> </w:t>
      </w:r>
      <w:r w:rsidR="00106098" w:rsidRPr="00D42336">
        <w:t>Purpose</w:t>
      </w:r>
      <w:bookmarkEnd w:id="1"/>
      <w:r w:rsidR="00106098" w:rsidRPr="00D42336">
        <w:t xml:space="preserve"> </w:t>
      </w:r>
      <w:bookmarkEnd w:id="0"/>
    </w:p>
    <w:p w14:paraId="69B94E75" w14:textId="77777777" w:rsidR="00143B6E" w:rsidRDefault="00A368C6" w:rsidP="00A368C6">
      <w:pPr>
        <w:pStyle w:val="BodyText1"/>
      </w:pPr>
      <w:r w:rsidRPr="002D7C3E">
        <w:t xml:space="preserve">This document provides </w:t>
      </w:r>
      <w:r w:rsidRPr="00C97571">
        <w:t xml:space="preserve">information </w:t>
      </w:r>
      <w:r w:rsidR="006B7307">
        <w:t xml:space="preserve">for anyone discharging </w:t>
      </w:r>
      <w:r w:rsidR="00FE3ADB">
        <w:t xml:space="preserve">sewage from a </w:t>
      </w:r>
      <w:r w:rsidRPr="00C97571">
        <w:t>Municipal Sewage Treatment Works</w:t>
      </w:r>
      <w:r w:rsidR="00BD3B5A">
        <w:t xml:space="preserve"> (STW)</w:t>
      </w:r>
      <w:r w:rsidR="00B5462D" w:rsidRPr="00B5462D">
        <w:t xml:space="preserve"> </w:t>
      </w:r>
      <w:r w:rsidR="00FE3ADB">
        <w:t xml:space="preserve">which is </w:t>
      </w:r>
      <w:r w:rsidR="00A2326E">
        <w:t>authorised</w:t>
      </w:r>
      <w:r w:rsidR="00FE3ADB">
        <w:t xml:space="preserve"> by</w:t>
      </w:r>
      <w:r w:rsidR="00A2326E">
        <w:t xml:space="preserve"> </w:t>
      </w:r>
      <w:r w:rsidR="00FE3ADB">
        <w:t>a permit</w:t>
      </w:r>
      <w:r w:rsidR="00A2326E">
        <w:t xml:space="preserve"> under </w:t>
      </w:r>
      <w:r w:rsidR="00B5462D" w:rsidRPr="00B5462D">
        <w:t>The Environmental Authorisations (Scotland) Regulations (EASR).</w:t>
      </w:r>
      <w:r w:rsidRPr="002D7C3E">
        <w:t xml:space="preserve"> </w:t>
      </w:r>
    </w:p>
    <w:p w14:paraId="1F73EFF8" w14:textId="2D88873F" w:rsidR="00A368C6" w:rsidRPr="002D7C3E" w:rsidRDefault="00A368C6" w:rsidP="00A368C6">
      <w:pPr>
        <w:pStyle w:val="BodyText1"/>
      </w:pPr>
      <w:r w:rsidRPr="002D7C3E">
        <w:t xml:space="preserve">For the purposes of this guidance, this means STWs served by a combined sewerage system, which includes rainfall runoff and sewage. This </w:t>
      </w:r>
      <w:r w:rsidR="0000723D">
        <w:t xml:space="preserve">guidance </w:t>
      </w:r>
      <w:r w:rsidRPr="002D7C3E">
        <w:t xml:space="preserve">is supplementary to the </w:t>
      </w:r>
      <w:r w:rsidRPr="00C97571">
        <w:t xml:space="preserve">document </w:t>
      </w:r>
      <w:r w:rsidR="000F3C75" w:rsidRPr="00323882">
        <w:t>WAT-G-057 Permit Guide Discharge of sewage effluent.</w:t>
      </w:r>
    </w:p>
    <w:p w14:paraId="3DC9B0CB" w14:textId="77777777" w:rsidR="00A368C6" w:rsidRPr="002D7C3E" w:rsidRDefault="00A368C6" w:rsidP="00A368C6">
      <w:pPr>
        <w:pStyle w:val="BodyText1"/>
      </w:pPr>
      <w:proofErr w:type="gramStart"/>
      <w:r w:rsidRPr="00C97571">
        <w:t>Particular reference</w:t>
      </w:r>
      <w:proofErr w:type="gramEnd"/>
      <w:r w:rsidRPr="002D7C3E">
        <w:t xml:space="preserve"> is made to:</w:t>
      </w:r>
    </w:p>
    <w:p w14:paraId="7D904252" w14:textId="77777777" w:rsidR="00A368C6" w:rsidRPr="002D7C3E" w:rsidRDefault="00A368C6" w:rsidP="00A368C6">
      <w:pPr>
        <w:pStyle w:val="BodyText1"/>
        <w:numPr>
          <w:ilvl w:val="0"/>
          <w:numId w:val="15"/>
        </w:numPr>
      </w:pPr>
      <w:r w:rsidRPr="002D7C3E">
        <w:t>Flow monitoring and event recorders</w:t>
      </w:r>
      <w:r>
        <w:t>.</w:t>
      </w:r>
    </w:p>
    <w:p w14:paraId="224D372E" w14:textId="77777777" w:rsidR="00A368C6" w:rsidRPr="002D7C3E" w:rsidRDefault="00A368C6" w:rsidP="00A368C6">
      <w:pPr>
        <w:pStyle w:val="BodyText1"/>
        <w:numPr>
          <w:ilvl w:val="0"/>
          <w:numId w:val="15"/>
        </w:numPr>
      </w:pPr>
      <w:r w:rsidRPr="002D7C3E">
        <w:t>Design flows and overflow settings</w:t>
      </w:r>
      <w:r>
        <w:t>.</w:t>
      </w:r>
    </w:p>
    <w:p w14:paraId="074AAF10" w14:textId="77777777" w:rsidR="00A368C6" w:rsidRDefault="00A368C6" w:rsidP="00A368C6">
      <w:pPr>
        <w:pStyle w:val="BodyText1"/>
        <w:numPr>
          <w:ilvl w:val="0"/>
          <w:numId w:val="15"/>
        </w:numPr>
      </w:pPr>
      <w:r w:rsidRPr="002D7C3E">
        <w:t>The use of instantaneous and composite standards at STWs.</w:t>
      </w:r>
    </w:p>
    <w:p w14:paraId="4FD6B459" w14:textId="672F9C16" w:rsidR="00196D1D" w:rsidRPr="002D7C3E" w:rsidRDefault="00196D1D" w:rsidP="00196D1D">
      <w:pPr>
        <w:pStyle w:val="BodyText1"/>
      </w:pPr>
      <w:r w:rsidRPr="00196D1D">
        <w:t>This guidance does not cover any other permissions that may be required.</w:t>
      </w:r>
    </w:p>
    <w:p w14:paraId="572ABA00" w14:textId="585D6527" w:rsidR="00A368C6" w:rsidRDefault="00842667" w:rsidP="003C064E">
      <w:pPr>
        <w:pStyle w:val="Heading1"/>
      </w:pPr>
      <w:bookmarkStart w:id="2" w:name="_Toc184195272"/>
      <w:bookmarkStart w:id="3" w:name="_Toc193873832"/>
      <w:bookmarkStart w:id="4" w:name="_Hlk193283890"/>
      <w:r>
        <w:t>2</w:t>
      </w:r>
      <w:r w:rsidR="00FE3B27">
        <w:t xml:space="preserve"> </w:t>
      </w:r>
      <w:r w:rsidR="00A368C6" w:rsidRPr="002D7C3E">
        <w:t>Flow Monitoring and Event Recorders</w:t>
      </w:r>
      <w:bookmarkEnd w:id="2"/>
      <w:bookmarkEnd w:id="3"/>
    </w:p>
    <w:p w14:paraId="1D2E6CE4" w14:textId="77777777" w:rsidR="00A368C6" w:rsidRPr="00B73C28" w:rsidRDefault="00A368C6" w:rsidP="00A368C6">
      <w:pPr>
        <w:pStyle w:val="Heading2"/>
      </w:pPr>
      <w:bookmarkStart w:id="5" w:name="_Toc364167796"/>
      <w:bookmarkStart w:id="6" w:name="_Toc174697456"/>
      <w:bookmarkStart w:id="7" w:name="_Toc184195273"/>
      <w:bookmarkStart w:id="8" w:name="_Toc193873833"/>
      <w:bookmarkEnd w:id="4"/>
      <w:r w:rsidRPr="00B73C28">
        <w:t>2.1</w:t>
      </w:r>
      <w:r w:rsidRPr="00B73C28">
        <w:tab/>
        <w:t>Introduction</w:t>
      </w:r>
      <w:bookmarkEnd w:id="5"/>
      <w:bookmarkEnd w:id="6"/>
      <w:bookmarkEnd w:id="7"/>
      <w:bookmarkEnd w:id="8"/>
    </w:p>
    <w:p w14:paraId="191426F8" w14:textId="77777777" w:rsidR="00A368C6" w:rsidRDefault="00A368C6" w:rsidP="00A368C6">
      <w:pPr>
        <w:pStyle w:val="BodyText1"/>
      </w:pPr>
      <w:r w:rsidRPr="002D7C3E">
        <w:t xml:space="preserve">The flow of sewage arriving at a treatment works needs to be understood </w:t>
      </w:r>
      <w:proofErr w:type="gramStart"/>
      <w:r w:rsidRPr="002D7C3E">
        <w:t>in order to</w:t>
      </w:r>
      <w:proofErr w:type="gramEnd"/>
      <w:r>
        <w:t>:</w:t>
      </w:r>
    </w:p>
    <w:p w14:paraId="3527BE27" w14:textId="77777777" w:rsidR="00A368C6" w:rsidRPr="00C20867" w:rsidRDefault="00A368C6" w:rsidP="00A368C6">
      <w:pPr>
        <w:pStyle w:val="BodyText1"/>
        <w:numPr>
          <w:ilvl w:val="0"/>
          <w:numId w:val="16"/>
        </w:numPr>
      </w:pPr>
      <w:r w:rsidRPr="00C20867">
        <w:t>Confirm the hydraulic performance of the works.</w:t>
      </w:r>
    </w:p>
    <w:p w14:paraId="50B6B1A3" w14:textId="59631E36" w:rsidR="00A368C6" w:rsidRDefault="00A368C6" w:rsidP="00A368C6">
      <w:pPr>
        <w:pStyle w:val="BodyText1"/>
        <w:numPr>
          <w:ilvl w:val="0"/>
          <w:numId w:val="16"/>
        </w:numPr>
      </w:pPr>
      <w:r>
        <w:t>T</w:t>
      </w:r>
      <w:r w:rsidRPr="002D7C3E">
        <w:t>rigger investment in additional capacity as growth in the catchment outstrips the existing capacity</w:t>
      </w:r>
      <w:r>
        <w:t xml:space="preserve"> of the treatment works</w:t>
      </w:r>
      <w:r w:rsidR="00CD30C9">
        <w:t>.</w:t>
      </w:r>
      <w:r w:rsidRPr="002D7C3E">
        <w:t xml:space="preserve"> </w:t>
      </w:r>
    </w:p>
    <w:p w14:paraId="0BC9A165" w14:textId="77777777" w:rsidR="00A368C6" w:rsidRDefault="00A368C6" w:rsidP="00A368C6">
      <w:pPr>
        <w:pStyle w:val="BodyText1"/>
        <w:numPr>
          <w:ilvl w:val="0"/>
          <w:numId w:val="16"/>
        </w:numPr>
        <w:rPr>
          <w:strike/>
        </w:rPr>
      </w:pPr>
      <w:r>
        <w:t>P</w:t>
      </w:r>
      <w:r w:rsidRPr="002D7C3E">
        <w:t xml:space="preserve">rovide accurate input data to sewer and quality models to determine appropriate licence conditions and to inform such investment. </w:t>
      </w:r>
    </w:p>
    <w:p w14:paraId="514157BD" w14:textId="62E0A5D9" w:rsidR="00A368C6" w:rsidRPr="002D7C3E" w:rsidRDefault="00A368C6" w:rsidP="00A368C6">
      <w:pPr>
        <w:pStyle w:val="BodyText1"/>
        <w:numPr>
          <w:ilvl w:val="0"/>
          <w:numId w:val="16"/>
        </w:numPr>
      </w:pPr>
      <w:r>
        <w:t>Undertake</w:t>
      </w:r>
      <w:r w:rsidRPr="00C97571">
        <w:t xml:space="preserve"> </w:t>
      </w:r>
      <w:r w:rsidR="007E5517" w:rsidRPr="007E5517">
        <w:t>Scottish Pollutant Release Inventory</w:t>
      </w:r>
      <w:r w:rsidR="007E5517">
        <w:t xml:space="preserve"> (</w:t>
      </w:r>
      <w:r w:rsidRPr="00F70102">
        <w:t>SPRI</w:t>
      </w:r>
      <w:r w:rsidR="007E5517">
        <w:t>)</w:t>
      </w:r>
      <w:r w:rsidRPr="00F70102">
        <w:t xml:space="preserve"> </w:t>
      </w:r>
      <w:r w:rsidRPr="002D7C3E">
        <w:t>reporting for works serving &gt;15,000 population equivalent (</w:t>
      </w:r>
      <w:proofErr w:type="spellStart"/>
      <w:r w:rsidRPr="002D7C3E">
        <w:t>p.e.</w:t>
      </w:r>
      <w:proofErr w:type="spellEnd"/>
      <w:r w:rsidRPr="002D7C3E">
        <w:t xml:space="preserve">), </w:t>
      </w:r>
      <w:r w:rsidRPr="001129AA">
        <w:t xml:space="preserve">and a need to confirm treatment levels under </w:t>
      </w:r>
      <w:r w:rsidR="00B36691">
        <w:t>the Urban Wastewater Treatment Directive (</w:t>
      </w:r>
      <w:r w:rsidRPr="001129AA">
        <w:t>UWWTD</w:t>
      </w:r>
      <w:r w:rsidR="00B36691">
        <w:t>)</w:t>
      </w:r>
      <w:r w:rsidRPr="001129AA">
        <w:t xml:space="preserve"> at various </w:t>
      </w:r>
      <w:proofErr w:type="spellStart"/>
      <w:r w:rsidRPr="001129AA">
        <w:t>p.e.</w:t>
      </w:r>
      <w:proofErr w:type="spellEnd"/>
      <w:r w:rsidRPr="001129AA">
        <w:t xml:space="preserve"> trigger levels, the lowest trigger level being 2000 </w:t>
      </w:r>
      <w:proofErr w:type="spellStart"/>
      <w:r w:rsidRPr="001129AA">
        <w:t>p.e.</w:t>
      </w:r>
      <w:proofErr w:type="spellEnd"/>
    </w:p>
    <w:p w14:paraId="52CFC267" w14:textId="77777777" w:rsidR="00A368C6" w:rsidRPr="00964F70" w:rsidRDefault="00A368C6" w:rsidP="00A368C6">
      <w:pPr>
        <w:pStyle w:val="BodyText1"/>
        <w:rPr>
          <w:rStyle w:val="Bold"/>
          <w:b w:val="0"/>
        </w:rPr>
      </w:pPr>
      <w:r w:rsidRPr="002D7C3E">
        <w:lastRenderedPageBreak/>
        <w:t>Flow measurements can range from a simple understanding of the population served and water consumption figures for the area, through spot gauging at appropriate times or weather conditions, to permanently installed flow monitors and data loggers.</w:t>
      </w:r>
    </w:p>
    <w:p w14:paraId="0761D3F8" w14:textId="77777777" w:rsidR="00A368C6" w:rsidRPr="00C0731D" w:rsidRDefault="00A368C6" w:rsidP="00A368C6">
      <w:pPr>
        <w:pStyle w:val="Heading3"/>
      </w:pPr>
      <w:bookmarkStart w:id="9" w:name="_Toc184195274"/>
      <w:bookmarkStart w:id="10" w:name="_Toc193873834"/>
      <w:r>
        <w:t xml:space="preserve">2.1.1 </w:t>
      </w:r>
      <w:r w:rsidRPr="00C0731D">
        <w:t>Formula A flows</w:t>
      </w:r>
      <w:bookmarkEnd w:id="9"/>
      <w:bookmarkEnd w:id="10"/>
    </w:p>
    <w:p w14:paraId="4F0D8FCF" w14:textId="3F9E5B07" w:rsidR="00A368C6" w:rsidRDefault="00A368C6" w:rsidP="00A368C6">
      <w:pPr>
        <w:pStyle w:val="BodyText1"/>
      </w:pPr>
      <w:r w:rsidRPr="00C0731D">
        <w:t xml:space="preserve">Formula A flows are discussed in section </w:t>
      </w:r>
      <w:r w:rsidRPr="00C0731D">
        <w:fldChar w:fldCharType="begin"/>
      </w:r>
      <w:r w:rsidRPr="00C0731D">
        <w:instrText xml:space="preserve"> REF _Ref364169619 \r \h  \* MERGEFORMAT </w:instrText>
      </w:r>
      <w:r w:rsidRPr="00C0731D">
        <w:fldChar w:fldCharType="separate"/>
      </w:r>
      <w:r w:rsidRPr="00C0731D">
        <w:t>3</w:t>
      </w:r>
      <w:r w:rsidRPr="00C0731D">
        <w:fldChar w:fldCharType="end"/>
      </w:r>
      <w:r w:rsidRPr="00C0731D">
        <w:t>.4</w:t>
      </w:r>
      <w:r w:rsidR="00B94D90">
        <w:t>.</w:t>
      </w:r>
    </w:p>
    <w:p w14:paraId="5652D350" w14:textId="77777777" w:rsidR="00A368C6" w:rsidRDefault="00A368C6" w:rsidP="00A368C6">
      <w:pPr>
        <w:pStyle w:val="Heading3"/>
      </w:pPr>
      <w:bookmarkStart w:id="11" w:name="_Toc184195275"/>
      <w:bookmarkStart w:id="12" w:name="_Toc193873835"/>
      <w:r>
        <w:t>2.1.2 Treatment works flows</w:t>
      </w:r>
      <w:bookmarkEnd w:id="11"/>
      <w:bookmarkEnd w:id="12"/>
    </w:p>
    <w:p w14:paraId="4281791B" w14:textId="77777777" w:rsidR="00A368C6" w:rsidRPr="004B5AB0" w:rsidRDefault="00A368C6" w:rsidP="00A368C6">
      <w:pPr>
        <w:pStyle w:val="BodyText1"/>
        <w:rPr>
          <w:rStyle w:val="Bold"/>
          <w:b w:val="0"/>
        </w:rPr>
      </w:pPr>
      <w:r w:rsidRPr="002D7C3E">
        <w:t xml:space="preserve">The various types of STW flows which SEPA requires </w:t>
      </w:r>
      <w:r w:rsidRPr="00C97571">
        <w:t>to be monitored</w:t>
      </w:r>
      <w:r w:rsidRPr="00D47FEB">
        <w:t xml:space="preserve"> </w:t>
      </w:r>
      <w:r w:rsidRPr="002D7C3E">
        <w:t>are discussed below.</w:t>
      </w:r>
    </w:p>
    <w:p w14:paraId="7C0FE0DD" w14:textId="77777777" w:rsidR="00A368C6" w:rsidRDefault="00A368C6" w:rsidP="00A368C6">
      <w:pPr>
        <w:pStyle w:val="Heading3"/>
      </w:pPr>
      <w:bookmarkStart w:id="13" w:name="_Toc184195276"/>
      <w:bookmarkStart w:id="14" w:name="_Toc193873836"/>
      <w:r w:rsidRPr="00C97571">
        <w:t>2.1.</w:t>
      </w:r>
      <w:r>
        <w:t>3</w:t>
      </w:r>
      <w:r w:rsidRPr="00C97571">
        <w:tab/>
        <w:t>Dry Weather Flow (DWF)</w:t>
      </w:r>
      <w:bookmarkEnd w:id="13"/>
      <w:bookmarkEnd w:id="14"/>
    </w:p>
    <w:p w14:paraId="0832793F" w14:textId="770CE6D4" w:rsidR="00A368C6" w:rsidRDefault="000033B0" w:rsidP="00A368C6">
      <w:pPr>
        <w:pStyle w:val="BodyText1"/>
      </w:pPr>
      <w:r>
        <w:t>Permits</w:t>
      </w:r>
      <w:r w:rsidR="00A368C6" w:rsidRPr="002D7C3E">
        <w:t xml:space="preserve"> for STWs on a combined sewerage system have a limit on the DWF of the influent sewage. The design of STWs is normally based on the treatment of multiples of DWF (see Section </w:t>
      </w:r>
      <w:r w:rsidR="00A368C6" w:rsidRPr="002D7C3E">
        <w:rPr>
          <w:color w:val="2B579A"/>
          <w:shd w:val="clear" w:color="auto" w:fill="E6E6E6"/>
        </w:rPr>
        <w:fldChar w:fldCharType="begin"/>
      </w:r>
      <w:r w:rsidR="00A368C6" w:rsidRPr="002D7C3E">
        <w:instrText xml:space="preserve"> REF _Ref364169670 \r \h  \* MERGEFORMAT </w:instrText>
      </w:r>
      <w:r w:rsidR="00A368C6" w:rsidRPr="002D7C3E">
        <w:rPr>
          <w:color w:val="2B579A"/>
          <w:shd w:val="clear" w:color="auto" w:fill="E6E6E6"/>
        </w:rPr>
      </w:r>
      <w:r w:rsidR="00A368C6" w:rsidRPr="002D7C3E">
        <w:rPr>
          <w:color w:val="2B579A"/>
          <w:shd w:val="clear" w:color="auto" w:fill="E6E6E6"/>
        </w:rPr>
        <w:fldChar w:fldCharType="separate"/>
      </w:r>
      <w:r w:rsidR="00A368C6" w:rsidRPr="002D7C3E">
        <w:t>3.2</w:t>
      </w:r>
      <w:r w:rsidR="00A368C6" w:rsidRPr="002D7C3E">
        <w:rPr>
          <w:color w:val="2B579A"/>
          <w:shd w:val="clear" w:color="auto" w:fill="E6E6E6"/>
        </w:rPr>
        <w:fldChar w:fldCharType="end"/>
      </w:r>
      <w:r w:rsidR="00A368C6" w:rsidRPr="002D7C3E">
        <w:t>). Increases in flow, due for example to population growth or to increased trade discharges, could lead to more frequent operation of overflows and therefore the potential for an increased impact on the water environment.</w:t>
      </w:r>
    </w:p>
    <w:p w14:paraId="13621C36" w14:textId="77777777" w:rsidR="00A368C6" w:rsidRDefault="00A368C6" w:rsidP="00A368C6">
      <w:pPr>
        <w:pStyle w:val="Heading3"/>
      </w:pPr>
      <w:bookmarkStart w:id="15" w:name="_Toc184195277"/>
      <w:bookmarkStart w:id="16" w:name="_Toc193873837"/>
      <w:r>
        <w:t>2.1.4 Overflow settings</w:t>
      </w:r>
      <w:bookmarkEnd w:id="15"/>
      <w:bookmarkEnd w:id="16"/>
    </w:p>
    <w:p w14:paraId="35E1118B" w14:textId="384F7A43" w:rsidR="00A368C6" w:rsidRDefault="00A368C6" w:rsidP="00A368C6">
      <w:pPr>
        <w:pStyle w:val="BodyText1"/>
      </w:pPr>
      <w:r w:rsidRPr="009C280C">
        <w:t xml:space="preserve">STW </w:t>
      </w:r>
      <w:r w:rsidR="000033B0">
        <w:t>permits</w:t>
      </w:r>
      <w:r w:rsidRPr="009C280C">
        <w:t xml:space="preserve"> only allow overflows to operate when a certain flow is exceeded</w:t>
      </w:r>
      <w:r>
        <w:t>,</w:t>
      </w:r>
      <w:r w:rsidRPr="009C280C">
        <w:t xml:space="preserve"> e.g. &gt;3DWF or Formula A. To ensure this is being complied with, monitoring of pass forward flows at storm overflow weirs is required.</w:t>
      </w:r>
    </w:p>
    <w:p w14:paraId="166AD7BE" w14:textId="77777777" w:rsidR="00A368C6" w:rsidRPr="009C280C" w:rsidRDefault="00A368C6" w:rsidP="00A368C6">
      <w:pPr>
        <w:pStyle w:val="Heading3"/>
      </w:pPr>
      <w:bookmarkStart w:id="17" w:name="_Toc184195278"/>
      <w:bookmarkStart w:id="18" w:name="_Toc193873838"/>
      <w:r>
        <w:t>2.1.5 Final effluent mean flow</w:t>
      </w:r>
      <w:bookmarkEnd w:id="17"/>
      <w:bookmarkEnd w:id="18"/>
    </w:p>
    <w:p w14:paraId="5DECBB71" w14:textId="77777777" w:rsidR="00A368C6" w:rsidRDefault="00A368C6" w:rsidP="00A368C6">
      <w:pPr>
        <w:pStyle w:val="BodyText1"/>
      </w:pPr>
      <w:r w:rsidRPr="009C280C">
        <w:t xml:space="preserve">Water quality modelling requires mean daily flow and standard deviation of the final effluent. Final effluent flow approximates closely to the flow to full treatment (FFT) (which will be slightly greater due to removal of sludge) and hence a dedicated final effluent flow meter is not normally required. For STWs &gt;15,000p.e., flows are required by the operator </w:t>
      </w:r>
      <w:proofErr w:type="gramStart"/>
      <w:r w:rsidRPr="009C280C">
        <w:t>in order to</w:t>
      </w:r>
      <w:proofErr w:type="gramEnd"/>
      <w:r w:rsidRPr="009C280C">
        <w:t xml:space="preserve"> calculate SPRI submissions.</w:t>
      </w:r>
    </w:p>
    <w:p w14:paraId="799F66A4" w14:textId="0325D86F" w:rsidR="00A368C6" w:rsidRPr="009C280C" w:rsidRDefault="00A368C6" w:rsidP="00A368C6">
      <w:pPr>
        <w:pStyle w:val="Heading3"/>
      </w:pPr>
      <w:bookmarkStart w:id="19" w:name="_Toc184195279"/>
      <w:bookmarkStart w:id="20" w:name="_Toc193873839"/>
      <w:r w:rsidRPr="009C280C">
        <w:lastRenderedPageBreak/>
        <w:t>2.1.6 Event recorders</w:t>
      </w:r>
      <w:bookmarkEnd w:id="19"/>
      <w:bookmarkEnd w:id="20"/>
    </w:p>
    <w:p w14:paraId="7331AA8B" w14:textId="77777777" w:rsidR="00A368C6" w:rsidRPr="009C280C" w:rsidRDefault="00A368C6" w:rsidP="00A368C6">
      <w:pPr>
        <w:pStyle w:val="BodyText1"/>
      </w:pPr>
      <w:r w:rsidRPr="009C280C">
        <w:t xml:space="preserve">It is not normally appropriate to try to measure the flow of storm sewage passing over an overflow. Instead, event recorders can be used to provide a start and stop time for overflow events. </w:t>
      </w:r>
    </w:p>
    <w:p w14:paraId="53689832" w14:textId="77777777" w:rsidR="00A368C6" w:rsidRPr="002D7C3E" w:rsidRDefault="00A368C6" w:rsidP="00A368C6">
      <w:pPr>
        <w:pStyle w:val="BodyText1"/>
      </w:pPr>
      <w:r w:rsidRPr="002D7C3E">
        <w:t>Event recorders are required for CSOs discharging to designated Bathing or Shellfish Waters in order that the number of spills can be determined. Event recorders are relatively cheap to install and can be useful in assessing increased frequency and trends of overflow events, due to increased influent flows at STW. The monitored frequency and duration of overflow events can be checked against projected data from sewer hydraulic models. An event recorder can also provide useful information when investigating an individual pollution incident in the watercourse. A limitation is that overflow events are clearly dependent on rainfall patterns, and do not necessarily reflect problems with the STW. If the actual flow of storm sewage is required, then this is best determined from flow recorders installed upstream and downstream of the overflow.</w:t>
      </w:r>
    </w:p>
    <w:p w14:paraId="6EA3A02F" w14:textId="34218E7F" w:rsidR="00A368C6" w:rsidRPr="002D7C3E" w:rsidRDefault="00A368C6" w:rsidP="00A368C6">
      <w:pPr>
        <w:pStyle w:val="BodyText1"/>
      </w:pPr>
      <w:r w:rsidRPr="002D7C3E">
        <w:t xml:space="preserve">The requirement for flow measurement structures and facilities </w:t>
      </w:r>
      <w:r w:rsidRPr="00C97571">
        <w:t>must be</w:t>
      </w:r>
      <w:r w:rsidRPr="002D7C3E">
        <w:t xml:space="preserve"> specified in the STW </w:t>
      </w:r>
      <w:r w:rsidR="000033B0">
        <w:t>permit</w:t>
      </w:r>
      <w:r w:rsidRPr="002D7C3E">
        <w:t>.</w:t>
      </w:r>
    </w:p>
    <w:p w14:paraId="16452C1B" w14:textId="77777777" w:rsidR="00A368C6" w:rsidRPr="002D7C3E" w:rsidRDefault="00A368C6" w:rsidP="00A368C6">
      <w:pPr>
        <w:pStyle w:val="BodyText1"/>
      </w:pPr>
      <w:r w:rsidRPr="002D7C3E">
        <w:t>Although monitoring equipment is not expensive, the creation of a suitable flow measurement structure may be impractical at some works. N.B. A flow measurement structure is a structure which enables the operator to install flow monitors if continuous flow recording is required. Improvements should be agreed with the operator through the agreed investment process.</w:t>
      </w:r>
    </w:p>
    <w:p w14:paraId="76B9B330" w14:textId="77777777" w:rsidR="00A368C6" w:rsidRPr="002D7C3E" w:rsidRDefault="00A368C6" w:rsidP="00A368C6">
      <w:pPr>
        <w:pStyle w:val="BodyText1"/>
      </w:pPr>
      <w:r w:rsidRPr="002D7C3E">
        <w:t xml:space="preserve">The configuration of monitoring points will vary according to the works, and the facilities provided according to the size of the works and the risk of impact. </w:t>
      </w:r>
      <w:r w:rsidRPr="00C97571">
        <w:t>Figure 1 is a schematic showing typical works layout and the location of monitoring equipment (if required), although this is for illustration only.</w:t>
      </w:r>
    </w:p>
    <w:p w14:paraId="4D1C3F28" w14:textId="77777777" w:rsidR="00A368C6" w:rsidRDefault="00A368C6" w:rsidP="00A368C6">
      <w:pPr>
        <w:pStyle w:val="BodyText1"/>
      </w:pPr>
      <w:r w:rsidRPr="002D7C3E">
        <w:t xml:space="preserve">The event recorder should be located </w:t>
      </w:r>
      <w:proofErr w:type="gramStart"/>
      <w:r w:rsidRPr="002D7C3E">
        <w:t>so as to</w:t>
      </w:r>
      <w:proofErr w:type="gramEnd"/>
      <w:r w:rsidRPr="002D7C3E">
        <w:t xml:space="preserve"> record overflows to the water environment, rather than overflows to a storm tank (if present).</w:t>
      </w:r>
    </w:p>
    <w:p w14:paraId="2C8398DC" w14:textId="77777777" w:rsidR="00BE4694" w:rsidRDefault="00BE4694" w:rsidP="00A368C6">
      <w:pPr>
        <w:pStyle w:val="BodyText1"/>
        <w:rPr>
          <w:rStyle w:val="Bold"/>
        </w:rPr>
      </w:pPr>
    </w:p>
    <w:p w14:paraId="49C4167F" w14:textId="77777777" w:rsidR="00BE4694" w:rsidRDefault="00BE4694" w:rsidP="00A368C6">
      <w:pPr>
        <w:pStyle w:val="BodyText1"/>
        <w:rPr>
          <w:rStyle w:val="Bold"/>
        </w:rPr>
      </w:pPr>
    </w:p>
    <w:p w14:paraId="4FAFD226" w14:textId="4F8C05B7" w:rsidR="00A368C6" w:rsidRDefault="00A368C6" w:rsidP="00A368C6">
      <w:pPr>
        <w:pStyle w:val="BodyText1"/>
        <w:rPr>
          <w:rStyle w:val="Bold"/>
        </w:rPr>
      </w:pPr>
      <w:r w:rsidRPr="00C97571">
        <w:rPr>
          <w:rStyle w:val="Bold"/>
        </w:rPr>
        <w:lastRenderedPageBreak/>
        <w:t xml:space="preserve">Figure </w:t>
      </w:r>
      <w:r w:rsidRPr="00000B2C">
        <w:rPr>
          <w:rStyle w:val="Bold"/>
        </w:rPr>
        <w:t>1:</w:t>
      </w:r>
      <w:r>
        <w:rPr>
          <w:rStyle w:val="Bold"/>
        </w:rPr>
        <w:t xml:space="preserve"> Schematic of flow monitoring and event recording requirements</w:t>
      </w:r>
    </w:p>
    <w:p w14:paraId="271DD5DF" w14:textId="77777777" w:rsidR="00A368C6" w:rsidRPr="002561CC" w:rsidRDefault="00A368C6" w:rsidP="00A368C6">
      <w:pPr>
        <w:pStyle w:val="BodyText1"/>
        <w:rPr>
          <w:rStyle w:val="Bold"/>
          <w:b w:val="0"/>
        </w:rPr>
      </w:pPr>
      <w:r w:rsidRPr="00EB46B0">
        <w:rPr>
          <w:rStyle w:val="Bold"/>
          <w:b w:val="0"/>
          <w:noProof/>
        </w:rPr>
        <w:drawing>
          <wp:inline distT="0" distB="0" distL="0" distR="0" wp14:anchorId="458F406E" wp14:editId="2CF3533D">
            <wp:extent cx="4864350" cy="2521080"/>
            <wp:effectExtent l="0" t="0" r="0" b="0"/>
            <wp:docPr id="1652827183" name="Picture 1" descr="A diagram showing possible flow monitor and event recorder lo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27183" name="Picture 1" descr="A diagram showing possible flow monitor and event recorder locations. "/>
                    <pic:cNvPicPr/>
                  </pic:nvPicPr>
                  <pic:blipFill>
                    <a:blip r:embed="rId14"/>
                    <a:stretch>
                      <a:fillRect/>
                    </a:stretch>
                  </pic:blipFill>
                  <pic:spPr>
                    <a:xfrm>
                      <a:off x="0" y="0"/>
                      <a:ext cx="4864350" cy="2521080"/>
                    </a:xfrm>
                    <a:prstGeom prst="rect">
                      <a:avLst/>
                    </a:prstGeom>
                  </pic:spPr>
                </pic:pic>
              </a:graphicData>
            </a:graphic>
          </wp:inline>
        </w:drawing>
      </w:r>
    </w:p>
    <w:p w14:paraId="7CEA5A18" w14:textId="77777777" w:rsidR="00A368C6" w:rsidRPr="002F6510" w:rsidRDefault="00A368C6" w:rsidP="00A368C6">
      <w:pPr>
        <w:pStyle w:val="BodyText1"/>
      </w:pPr>
      <w:r w:rsidRPr="00000B2C">
        <w:t xml:space="preserve">Flow monitoring / event recording requirements are summarised in </w:t>
      </w:r>
      <w:r w:rsidRPr="0019218C">
        <w:fldChar w:fldCharType="begin"/>
      </w:r>
      <w:r w:rsidRPr="00203141">
        <w:instrText xml:space="preserve"> REF _Ref364171448 \r \h  \* MERGEFORMAT </w:instrText>
      </w:r>
      <w:r w:rsidRPr="0019218C">
        <w:fldChar w:fldCharType="separate"/>
      </w:r>
      <w:r w:rsidRPr="00203141">
        <w:t>Table 1</w:t>
      </w:r>
      <w:r w:rsidRPr="0019218C">
        <w:fldChar w:fldCharType="end"/>
      </w:r>
      <w:r w:rsidRPr="0019218C">
        <w:t>.</w:t>
      </w:r>
    </w:p>
    <w:p w14:paraId="6CFA8345" w14:textId="62485067" w:rsidR="00A368C6" w:rsidRPr="00804CFD" w:rsidRDefault="00A368C6" w:rsidP="00A368C6">
      <w:pPr>
        <w:rPr>
          <w:b/>
          <w:bCs/>
        </w:rPr>
      </w:pPr>
      <w:r w:rsidRPr="009A5776">
        <w:rPr>
          <w:b/>
          <w:bCs/>
        </w:rPr>
        <w:t>Table 1</w:t>
      </w:r>
      <w:r>
        <w:rPr>
          <w:b/>
          <w:bCs/>
        </w:rPr>
        <w:t>:</w:t>
      </w:r>
      <w:r w:rsidRPr="009A5776">
        <w:rPr>
          <w:b/>
          <w:bCs/>
        </w:rPr>
        <w:t xml:space="preserve"> Flow monitoring / event recording requirements</w:t>
      </w:r>
      <w:r w:rsidRPr="00C97571">
        <w:rPr>
          <w:b/>
          <w:bCs/>
          <w:vertAlign w:val="superscript"/>
        </w:rPr>
        <w:t>1</w:t>
      </w:r>
    </w:p>
    <w:tbl>
      <w:tblPr>
        <w:tblW w:w="5000" w:type="pct"/>
        <w:tblLayout w:type="fixed"/>
        <w:tblCellMar>
          <w:left w:w="0" w:type="dxa"/>
          <w:right w:w="0" w:type="dxa"/>
        </w:tblCellMar>
        <w:tblLook w:val="04A0" w:firstRow="1" w:lastRow="0" w:firstColumn="1" w:lastColumn="0" w:noHBand="0" w:noVBand="1"/>
        <w:tblCaption w:val="Table 1: Flow monitoring / event recording requirements"/>
        <w:tblDescription w:val="This table shows, for different popultaion equivalent,  the:&#10;Minimum flow monitoring requirement.&#10;The need for an event recorder.&#10;Data recording requirements.&#10;The period that flow/events records need to be kept. "/>
      </w:tblPr>
      <w:tblGrid>
        <w:gridCol w:w="1551"/>
        <w:gridCol w:w="2126"/>
        <w:gridCol w:w="2126"/>
        <w:gridCol w:w="2979"/>
        <w:gridCol w:w="1420"/>
      </w:tblGrid>
      <w:tr w:rsidR="00A368C6" w:rsidRPr="00684F5A" w14:paraId="0D8E7F36" w14:textId="77777777" w:rsidTr="001F7C85">
        <w:trPr>
          <w:cantSplit/>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64F2012"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Population equivalent</w:t>
            </w:r>
          </w:p>
        </w:tc>
        <w:tc>
          <w:tcPr>
            <w:tcW w:w="10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48E1108"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Minimum flow monitoring requirement </w:t>
            </w:r>
          </w:p>
        </w:tc>
        <w:tc>
          <w:tcPr>
            <w:tcW w:w="10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930261C"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Event recorders</w:t>
            </w:r>
          </w:p>
        </w:tc>
        <w:tc>
          <w:tcPr>
            <w:tcW w:w="146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73307F1"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Data recording</w:t>
            </w:r>
          </w:p>
        </w:tc>
        <w:tc>
          <w:tcPr>
            <w:tcW w:w="696" w:type="pct"/>
            <w:tcBorders>
              <w:top w:val="single" w:sz="8" w:space="0" w:color="auto"/>
              <w:left w:val="nil"/>
              <w:bottom w:val="single" w:sz="8" w:space="0" w:color="auto"/>
              <w:right w:val="single" w:sz="8" w:space="0" w:color="auto"/>
            </w:tcBorders>
            <w:shd w:val="clear" w:color="auto" w:fill="016574"/>
          </w:tcPr>
          <w:p w14:paraId="0BC4877D"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Period that flow/event records need to be kept</w:t>
            </w:r>
          </w:p>
        </w:tc>
      </w:tr>
      <w:tr w:rsidR="00A368C6" w:rsidRPr="00684F5A" w14:paraId="46BAE945" w14:textId="77777777" w:rsidTr="001F7C85">
        <w:trPr>
          <w:cantSplit/>
          <w:trHeight w:val="315"/>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EB2E1F5" w14:textId="77777777" w:rsidR="00A368C6" w:rsidRPr="00684F5A" w:rsidRDefault="00A368C6" w:rsidP="005A5680">
            <w:pPr>
              <w:spacing w:after="120"/>
              <w:rPr>
                <w:rFonts w:ascii="Arial" w:eastAsia="Times New Roman" w:hAnsi="Arial" w:cs="Arial"/>
                <w:lang w:eastAsia="en-GB"/>
              </w:rPr>
            </w:pPr>
            <w:r>
              <w:rPr>
                <w:rFonts w:ascii="Arial" w:eastAsia="Times New Roman" w:hAnsi="Arial" w:cs="Arial"/>
                <w:lang w:eastAsia="en-GB"/>
              </w:rPr>
              <w:t xml:space="preserve">&gt;2000 </w:t>
            </w:r>
            <w:proofErr w:type="spellStart"/>
            <w:proofErr w:type="gramStart"/>
            <w:r>
              <w:rPr>
                <w:rFonts w:ascii="Arial" w:eastAsia="Times New Roman" w:hAnsi="Arial" w:cs="Arial"/>
                <w:lang w:eastAsia="en-GB"/>
              </w:rPr>
              <w:t>p.e</w:t>
            </w:r>
            <w:proofErr w:type="spellEnd"/>
            <w:proofErr w:type="gram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F933558" w14:textId="77777777" w:rsidR="00A368C6" w:rsidRPr="002D7C3E" w:rsidRDefault="00A368C6" w:rsidP="005A5680">
            <w:pPr>
              <w:pStyle w:val="TableBody"/>
              <w:spacing w:before="0" w:line="360" w:lineRule="auto"/>
              <w:rPr>
                <w:sz w:val="24"/>
              </w:rPr>
            </w:pPr>
            <w:r w:rsidRPr="002D7C3E">
              <w:rPr>
                <w:sz w:val="24"/>
              </w:rPr>
              <w:t>Flow measurement structures and permanent flow monitors</w:t>
            </w:r>
            <w:r>
              <w:rPr>
                <w:sz w:val="24"/>
              </w:rPr>
              <w:t xml:space="preserve"> at:</w:t>
            </w:r>
          </w:p>
          <w:p w14:paraId="6D72336D" w14:textId="77777777" w:rsidR="00A368C6" w:rsidRPr="002D7C3E" w:rsidRDefault="00A368C6" w:rsidP="00A368C6">
            <w:pPr>
              <w:pStyle w:val="TableBody"/>
              <w:numPr>
                <w:ilvl w:val="0"/>
                <w:numId w:val="17"/>
              </w:numPr>
              <w:spacing w:before="0" w:line="360" w:lineRule="auto"/>
              <w:ind w:left="463" w:hanging="284"/>
              <w:rPr>
                <w:sz w:val="24"/>
              </w:rPr>
            </w:pPr>
            <w:r w:rsidRPr="002D7C3E">
              <w:rPr>
                <w:sz w:val="24"/>
              </w:rPr>
              <w:t>Inlet</w:t>
            </w:r>
            <w:r w:rsidRPr="008D5CDC">
              <w:rPr>
                <w:sz w:val="24"/>
                <w:vertAlign w:val="superscript"/>
              </w:rPr>
              <w:t>2</w:t>
            </w:r>
          </w:p>
          <w:p w14:paraId="512BE138" w14:textId="77777777" w:rsidR="00A368C6" w:rsidRPr="006B2206" w:rsidRDefault="00A368C6" w:rsidP="00A368C6">
            <w:pPr>
              <w:pStyle w:val="ListParagraph"/>
              <w:numPr>
                <w:ilvl w:val="0"/>
                <w:numId w:val="17"/>
              </w:numPr>
              <w:spacing w:after="120"/>
              <w:ind w:left="463" w:hanging="284"/>
              <w:rPr>
                <w:rFonts w:ascii="Arial" w:eastAsia="Times New Roman" w:hAnsi="Arial" w:cs="Arial"/>
                <w:lang w:eastAsia="en-GB"/>
              </w:rPr>
            </w:pPr>
            <w:r w:rsidRPr="002D7C3E">
              <w:t>flow to full treatment (FFT)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B6C0EAB" w14:textId="77777777" w:rsidR="00A368C6" w:rsidRPr="00684F5A" w:rsidRDefault="00A368C6" w:rsidP="005A5680">
            <w:pPr>
              <w:spacing w:after="120"/>
              <w:rPr>
                <w:rFonts w:ascii="Arial" w:eastAsia="Times New Roman" w:hAnsi="Arial" w:cs="Arial"/>
                <w:lang w:eastAsia="en-GB"/>
              </w:rPr>
            </w:pPr>
            <w:r>
              <w:rPr>
                <w:rFonts w:ascii="Arial" w:eastAsia="Times New Roman" w:hAnsi="Arial" w:cs="Arial"/>
                <w:lang w:eastAsia="en-GB"/>
              </w:rPr>
              <w:t>All overflows</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B7B6A20" w14:textId="2D55D11B" w:rsidR="00A368C6" w:rsidRDefault="00A368C6" w:rsidP="005A5680">
            <w:pPr>
              <w:spacing w:after="120"/>
            </w:pPr>
            <w:r w:rsidRPr="002D7C3E">
              <w:t>Instantaneous FFT</w:t>
            </w:r>
            <w:r>
              <w:t>.</w:t>
            </w:r>
          </w:p>
          <w:p w14:paraId="68A30359" w14:textId="77777777" w:rsidR="00A368C6" w:rsidRDefault="00A368C6" w:rsidP="005A5680">
            <w:pPr>
              <w:spacing w:after="120"/>
            </w:pPr>
            <w:r>
              <w:t>Annual influent DWF calculation</w:t>
            </w:r>
            <w:r w:rsidRPr="00C97571">
              <w:rPr>
                <w:vertAlign w:val="superscript"/>
              </w:rPr>
              <w:t>3</w:t>
            </w:r>
            <w:r>
              <w:t>.</w:t>
            </w:r>
          </w:p>
          <w:p w14:paraId="50C4503D" w14:textId="77777777" w:rsidR="00A368C6" w:rsidRDefault="00A368C6" w:rsidP="005A5680">
            <w:pPr>
              <w:spacing w:after="120"/>
            </w:pPr>
            <w:r>
              <w:t>Effluent mean daily flow and standard deviation calculation</w:t>
            </w:r>
            <w:r w:rsidRPr="00C97571">
              <w:rPr>
                <w:vertAlign w:val="superscript"/>
              </w:rPr>
              <w:t>3</w:t>
            </w:r>
            <w:r>
              <w:t>.</w:t>
            </w:r>
          </w:p>
          <w:p w14:paraId="16470503" w14:textId="77777777" w:rsidR="00A368C6" w:rsidRDefault="00A368C6" w:rsidP="005A5680">
            <w:pPr>
              <w:spacing w:after="120"/>
              <w:rPr>
                <w:rFonts w:ascii="Arial" w:hAnsi="Arial" w:cs="Arial"/>
                <w:lang w:eastAsia="en-GB"/>
              </w:rPr>
            </w:pPr>
            <w:r>
              <w:rPr>
                <w:rFonts w:ascii="Arial" w:hAnsi="Arial" w:cs="Arial"/>
                <w:lang w:eastAsia="en-GB"/>
              </w:rPr>
              <w:t>Storm overflow events</w:t>
            </w:r>
            <w:r w:rsidRPr="00C97571">
              <w:rPr>
                <w:rFonts w:ascii="Arial" w:hAnsi="Arial" w:cs="Arial"/>
                <w:vertAlign w:val="superscript"/>
                <w:lang w:eastAsia="en-GB"/>
              </w:rPr>
              <w:t>3</w:t>
            </w:r>
            <w:r>
              <w:rPr>
                <w:rFonts w:ascii="Arial" w:hAnsi="Arial" w:cs="Arial"/>
                <w:lang w:eastAsia="en-GB"/>
              </w:rPr>
              <w:t>.</w:t>
            </w:r>
          </w:p>
          <w:p w14:paraId="3D97F731" w14:textId="77777777" w:rsidR="00A368C6" w:rsidRPr="00684F5A" w:rsidRDefault="00A368C6" w:rsidP="005A5680">
            <w:pPr>
              <w:spacing w:after="120"/>
              <w:rPr>
                <w:rFonts w:ascii="Arial" w:eastAsia="Times New Roman" w:hAnsi="Arial" w:cs="Arial"/>
                <w:lang w:eastAsia="en-GB"/>
              </w:rPr>
            </w:pPr>
            <w:r>
              <w:rPr>
                <w:rFonts w:ascii="Arial" w:hAnsi="Arial" w:cs="Arial"/>
                <w:lang w:eastAsia="en-GB"/>
              </w:rPr>
              <w:t>Total annual volume discharged during overflow events.</w:t>
            </w:r>
          </w:p>
        </w:tc>
        <w:tc>
          <w:tcPr>
            <w:tcW w:w="696" w:type="pct"/>
            <w:tcBorders>
              <w:top w:val="nil"/>
              <w:left w:val="nil"/>
              <w:bottom w:val="single" w:sz="8" w:space="0" w:color="A6A6A6"/>
              <w:right w:val="single" w:sz="8" w:space="0" w:color="A6A6A6"/>
            </w:tcBorders>
          </w:tcPr>
          <w:p w14:paraId="09F2E7FF" w14:textId="77777777" w:rsidR="00A368C6" w:rsidRPr="00684F5A" w:rsidRDefault="00A368C6" w:rsidP="005A5680">
            <w:pPr>
              <w:spacing w:after="120"/>
              <w:rPr>
                <w:rFonts w:ascii="Arial" w:eastAsia="Times New Roman" w:hAnsi="Arial" w:cs="Arial"/>
                <w:lang w:eastAsia="en-GB"/>
              </w:rPr>
            </w:pPr>
            <w:r>
              <w:rPr>
                <w:rFonts w:ascii="Arial" w:eastAsia="Times New Roman" w:hAnsi="Arial" w:cs="Arial"/>
                <w:lang w:eastAsia="en-GB"/>
              </w:rPr>
              <w:t>5 years</w:t>
            </w:r>
          </w:p>
        </w:tc>
      </w:tr>
      <w:tr w:rsidR="00A368C6" w:rsidRPr="00684F5A" w14:paraId="62032FF8" w14:textId="77777777" w:rsidTr="001F7C85">
        <w:trPr>
          <w:cantSplit/>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B93C86C" w14:textId="77777777" w:rsidR="00A368C6" w:rsidRPr="00684F5A" w:rsidRDefault="00A368C6" w:rsidP="005A5680">
            <w:pPr>
              <w:spacing w:after="120"/>
              <w:rPr>
                <w:rFonts w:ascii="Arial" w:eastAsia="Times New Roman" w:hAnsi="Arial" w:cs="Arial"/>
                <w:lang w:eastAsia="en-GB"/>
              </w:rPr>
            </w:pPr>
            <w:r>
              <w:rPr>
                <w:rFonts w:ascii="Arial" w:eastAsia="Times New Roman" w:hAnsi="Arial" w:cs="Arial"/>
                <w:lang w:eastAsia="en-GB"/>
              </w:rPr>
              <w:lastRenderedPageBreak/>
              <w:t xml:space="preserve">500-2000 </w:t>
            </w:r>
            <w:proofErr w:type="spellStart"/>
            <w:proofErr w:type="gramStart"/>
            <w:r>
              <w:rPr>
                <w:rFonts w:ascii="Arial" w:eastAsia="Times New Roman" w:hAnsi="Arial" w:cs="Arial"/>
                <w:lang w:eastAsia="en-GB"/>
              </w:rPr>
              <w:t>p.e</w:t>
            </w:r>
            <w:proofErr w:type="spellEnd"/>
            <w:proofErr w:type="gram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7C8E3B" w14:textId="77777777" w:rsidR="00A368C6" w:rsidRDefault="00A368C6" w:rsidP="005A5680">
            <w:pPr>
              <w:spacing w:after="120"/>
              <w:rPr>
                <w:rFonts w:ascii="Arial" w:eastAsia="Times New Roman" w:hAnsi="Arial" w:cs="Arial"/>
                <w:lang w:eastAsia="en-GB"/>
              </w:rPr>
            </w:pPr>
            <w:r>
              <w:rPr>
                <w:rFonts w:ascii="Arial" w:eastAsia="Times New Roman" w:hAnsi="Arial" w:cs="Arial"/>
                <w:lang w:eastAsia="en-GB"/>
              </w:rPr>
              <w:t>Structure at FFT only.</w:t>
            </w:r>
          </w:p>
          <w:p w14:paraId="286953B6" w14:textId="77777777" w:rsidR="00A368C6" w:rsidRPr="00684F5A" w:rsidRDefault="00A368C6" w:rsidP="005A5680">
            <w:pPr>
              <w:spacing w:after="120"/>
              <w:rPr>
                <w:rFonts w:ascii="Arial" w:eastAsia="Times New Roman" w:hAnsi="Arial" w:cs="Arial"/>
                <w:lang w:eastAsia="en-GB"/>
              </w:rPr>
            </w:pPr>
            <w:r>
              <w:rPr>
                <w:rFonts w:ascii="Arial" w:eastAsia="Times New Roman" w:hAnsi="Arial" w:cs="Arial"/>
                <w:lang w:eastAsia="en-GB"/>
              </w:rPr>
              <w:t>FFT flow monitor where dilution &lt;10:1.</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BBD44A2" w14:textId="77777777" w:rsidR="00A368C6" w:rsidRPr="00684F5A" w:rsidRDefault="00A368C6" w:rsidP="005A5680">
            <w:pPr>
              <w:spacing w:after="120"/>
              <w:rPr>
                <w:rFonts w:ascii="Arial" w:eastAsia="Times New Roman" w:hAnsi="Arial" w:cs="Arial"/>
                <w:lang w:eastAsia="en-GB"/>
              </w:rPr>
            </w:pPr>
            <w:r w:rsidRPr="002D7C3E">
              <w:t>Required if CSO impacts on designated Bathing, Shellfish Waters</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6FEDAAF" w14:textId="77777777" w:rsidR="00A368C6" w:rsidRPr="002D44CB" w:rsidRDefault="00A368C6" w:rsidP="005A5680">
            <w:pPr>
              <w:spacing w:after="120"/>
              <w:rPr>
                <w:rFonts w:ascii="Arial" w:eastAsia="Times New Roman" w:hAnsi="Arial" w:cs="Arial"/>
                <w:b/>
                <w:bCs/>
                <w:lang w:eastAsia="en-GB"/>
              </w:rPr>
            </w:pPr>
            <w:r w:rsidRPr="00C97571">
              <w:t>As above, if monitors installed.</w:t>
            </w:r>
          </w:p>
        </w:tc>
        <w:tc>
          <w:tcPr>
            <w:tcW w:w="696" w:type="pct"/>
            <w:tcBorders>
              <w:top w:val="nil"/>
              <w:left w:val="nil"/>
              <w:bottom w:val="single" w:sz="8" w:space="0" w:color="A6A6A6"/>
              <w:right w:val="single" w:sz="8" w:space="0" w:color="A6A6A6"/>
            </w:tcBorders>
          </w:tcPr>
          <w:p w14:paraId="0A1851B5" w14:textId="77777777" w:rsidR="00A368C6" w:rsidRPr="00C97571" w:rsidRDefault="00A368C6" w:rsidP="005A5680">
            <w:pPr>
              <w:spacing w:after="120"/>
              <w:rPr>
                <w:rFonts w:ascii="Arial" w:eastAsia="Times New Roman" w:hAnsi="Arial" w:cs="Arial"/>
                <w:lang w:eastAsia="en-GB"/>
              </w:rPr>
            </w:pPr>
            <w:r w:rsidRPr="00C97571">
              <w:t>As above, if monitors installed</w:t>
            </w:r>
          </w:p>
        </w:tc>
      </w:tr>
      <w:tr w:rsidR="00A368C6" w:rsidRPr="00684F5A" w14:paraId="70645C7D" w14:textId="77777777" w:rsidTr="001F7C85">
        <w:trPr>
          <w:cantSplit/>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F54252C" w14:textId="77777777" w:rsidR="00A368C6" w:rsidRPr="00684F5A" w:rsidRDefault="00A368C6" w:rsidP="005A5680">
            <w:pPr>
              <w:spacing w:after="120"/>
              <w:rPr>
                <w:rFonts w:ascii="Arial" w:eastAsia="Times New Roman" w:hAnsi="Arial" w:cs="Arial"/>
                <w:lang w:eastAsia="en-GB"/>
              </w:rPr>
            </w:pPr>
            <w:r>
              <w:rPr>
                <w:rFonts w:ascii="Arial" w:eastAsia="Times New Roman" w:hAnsi="Arial" w:cs="Arial"/>
                <w:lang w:eastAsia="en-GB"/>
              </w:rPr>
              <w:t xml:space="preserve">100-500 </w:t>
            </w:r>
            <w:proofErr w:type="spellStart"/>
            <w:proofErr w:type="gramStart"/>
            <w:r>
              <w:rPr>
                <w:rFonts w:ascii="Arial" w:eastAsia="Times New Roman" w:hAnsi="Arial" w:cs="Arial"/>
                <w:lang w:eastAsia="en-GB"/>
              </w:rPr>
              <w:t>p.e</w:t>
            </w:r>
            <w:proofErr w:type="spellEnd"/>
            <w:proofErr w:type="gram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A22C7ED" w14:textId="77777777" w:rsidR="00A368C6" w:rsidRPr="00684F5A" w:rsidRDefault="00A368C6" w:rsidP="005A5680">
            <w:pPr>
              <w:spacing w:after="120"/>
              <w:rPr>
                <w:rFonts w:ascii="Arial" w:eastAsia="Times New Roman" w:hAnsi="Arial" w:cs="Arial"/>
                <w:lang w:eastAsia="en-GB"/>
              </w:rPr>
            </w:pPr>
            <w:r>
              <w:rPr>
                <w:rFonts w:ascii="Arial" w:eastAsia="Times New Roman" w:hAnsi="Arial" w:cs="Arial"/>
                <w:lang w:eastAsia="en-GB"/>
              </w:rPr>
              <w:t>none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35C98C1" w14:textId="77777777" w:rsidR="00A368C6" w:rsidRPr="00684F5A" w:rsidRDefault="00A368C6" w:rsidP="005A5680">
            <w:pPr>
              <w:spacing w:after="120"/>
              <w:rPr>
                <w:rFonts w:ascii="Arial" w:eastAsia="Times New Roman" w:hAnsi="Arial" w:cs="Arial"/>
                <w:lang w:eastAsia="en-GB"/>
              </w:rPr>
            </w:pPr>
            <w:r w:rsidRPr="002D7C3E">
              <w:t>Required if CSO impacts on designated Bathing, Shellfish Waters</w:t>
            </w:r>
            <w:r w:rsidRPr="002D7C3E">
              <w:rPr>
                <w:vertAlign w:val="superscript"/>
              </w:rPr>
              <w:t>4</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25CECCC" w14:textId="77777777" w:rsidR="00A368C6" w:rsidRPr="002D44CB" w:rsidRDefault="00A368C6" w:rsidP="005A5680">
            <w:pPr>
              <w:spacing w:after="120"/>
              <w:rPr>
                <w:rFonts w:ascii="Arial" w:eastAsia="Times New Roman" w:hAnsi="Arial" w:cs="Arial"/>
                <w:lang w:eastAsia="en-GB"/>
              </w:rPr>
            </w:pPr>
            <w:r w:rsidRPr="00C97571">
              <w:t>As above, if monitors installed</w:t>
            </w:r>
          </w:p>
        </w:tc>
        <w:tc>
          <w:tcPr>
            <w:tcW w:w="696" w:type="pct"/>
            <w:tcBorders>
              <w:top w:val="nil"/>
              <w:left w:val="nil"/>
              <w:bottom w:val="single" w:sz="8" w:space="0" w:color="A6A6A6"/>
              <w:right w:val="single" w:sz="8" w:space="0" w:color="A6A6A6"/>
            </w:tcBorders>
          </w:tcPr>
          <w:p w14:paraId="41F508EE" w14:textId="77777777" w:rsidR="00A368C6" w:rsidRPr="00C97571" w:rsidRDefault="00A368C6" w:rsidP="005A5680">
            <w:pPr>
              <w:spacing w:after="120"/>
              <w:rPr>
                <w:rFonts w:ascii="Arial" w:eastAsia="Times New Roman" w:hAnsi="Arial" w:cs="Arial"/>
                <w:lang w:eastAsia="en-GB"/>
              </w:rPr>
            </w:pPr>
            <w:r w:rsidRPr="00C97571">
              <w:t>As above, if monitors installed</w:t>
            </w:r>
          </w:p>
        </w:tc>
      </w:tr>
      <w:tr w:rsidR="00A368C6" w:rsidRPr="00684F5A" w14:paraId="4B6AB631" w14:textId="77777777" w:rsidTr="001F7C85">
        <w:trPr>
          <w:cantSplit/>
          <w:trHeight w:val="300"/>
        </w:trPr>
        <w:tc>
          <w:tcPr>
            <w:tcW w:w="760" w:type="pct"/>
            <w:tcBorders>
              <w:top w:val="nil"/>
              <w:left w:val="single" w:sz="8" w:space="0" w:color="A6A6A6"/>
              <w:bottom w:val="single" w:sz="4" w:space="0" w:color="A6A6A6" w:themeColor="background1" w:themeShade="A6"/>
              <w:right w:val="single" w:sz="8" w:space="0" w:color="A6A6A6"/>
            </w:tcBorders>
            <w:noWrap/>
            <w:tcMar>
              <w:top w:w="0" w:type="dxa"/>
              <w:left w:w="108" w:type="dxa"/>
              <w:bottom w:w="0" w:type="dxa"/>
              <w:right w:w="108" w:type="dxa"/>
            </w:tcMar>
            <w:vAlign w:val="center"/>
          </w:tcPr>
          <w:p w14:paraId="553D29EF" w14:textId="77777777" w:rsidR="00A368C6" w:rsidRDefault="00A368C6" w:rsidP="005A5680">
            <w:pPr>
              <w:spacing w:after="120"/>
              <w:rPr>
                <w:rFonts w:ascii="Arial" w:eastAsia="Times New Roman" w:hAnsi="Arial" w:cs="Arial"/>
                <w:lang w:eastAsia="en-GB"/>
              </w:rPr>
            </w:pPr>
            <w:r>
              <w:rPr>
                <w:rFonts w:ascii="Arial" w:eastAsia="Times New Roman" w:hAnsi="Arial" w:cs="Arial"/>
                <w:lang w:eastAsia="en-GB"/>
              </w:rPr>
              <w:t xml:space="preserve">&lt;100 </w:t>
            </w:r>
            <w:proofErr w:type="spellStart"/>
            <w:proofErr w:type="gramStart"/>
            <w:r>
              <w:rPr>
                <w:rFonts w:ascii="Arial" w:eastAsia="Times New Roman" w:hAnsi="Arial" w:cs="Arial"/>
                <w:lang w:eastAsia="en-GB"/>
              </w:rPr>
              <w:t>p.e</w:t>
            </w:r>
            <w:proofErr w:type="spellEnd"/>
            <w:proofErr w:type="gramEnd"/>
          </w:p>
        </w:tc>
        <w:tc>
          <w:tcPr>
            <w:tcW w:w="1042" w:type="pct"/>
            <w:tcBorders>
              <w:top w:val="nil"/>
              <w:left w:val="nil"/>
              <w:bottom w:val="single" w:sz="4" w:space="0" w:color="A6A6A6" w:themeColor="background1" w:themeShade="A6"/>
              <w:right w:val="single" w:sz="8" w:space="0" w:color="A6A6A6"/>
            </w:tcBorders>
            <w:noWrap/>
            <w:tcMar>
              <w:top w:w="0" w:type="dxa"/>
              <w:left w:w="108" w:type="dxa"/>
              <w:bottom w:w="0" w:type="dxa"/>
              <w:right w:w="108" w:type="dxa"/>
            </w:tcMar>
            <w:vAlign w:val="center"/>
          </w:tcPr>
          <w:p w14:paraId="267E9FDA" w14:textId="77777777" w:rsidR="00A368C6" w:rsidRDefault="00A368C6" w:rsidP="005A5680">
            <w:pPr>
              <w:spacing w:after="120"/>
              <w:rPr>
                <w:rFonts w:ascii="Arial" w:eastAsia="Times New Roman" w:hAnsi="Arial" w:cs="Arial"/>
                <w:lang w:eastAsia="en-GB"/>
              </w:rPr>
            </w:pPr>
            <w:r>
              <w:rPr>
                <w:rFonts w:ascii="Arial" w:eastAsia="Times New Roman" w:hAnsi="Arial" w:cs="Arial"/>
                <w:lang w:eastAsia="en-GB"/>
              </w:rPr>
              <w:t>none</w:t>
            </w:r>
          </w:p>
        </w:tc>
        <w:tc>
          <w:tcPr>
            <w:tcW w:w="1042" w:type="pct"/>
            <w:tcBorders>
              <w:top w:val="nil"/>
              <w:left w:val="nil"/>
              <w:bottom w:val="single" w:sz="4" w:space="0" w:color="A6A6A6" w:themeColor="background1" w:themeShade="A6"/>
              <w:right w:val="single" w:sz="8" w:space="0" w:color="A6A6A6"/>
            </w:tcBorders>
            <w:noWrap/>
            <w:tcMar>
              <w:top w:w="0" w:type="dxa"/>
              <w:left w:w="108" w:type="dxa"/>
              <w:bottom w:w="0" w:type="dxa"/>
              <w:right w:w="108" w:type="dxa"/>
            </w:tcMar>
            <w:vAlign w:val="center"/>
          </w:tcPr>
          <w:p w14:paraId="62C7227E" w14:textId="77777777" w:rsidR="00A368C6" w:rsidRDefault="00A368C6" w:rsidP="005A5680">
            <w:pPr>
              <w:spacing w:after="120"/>
              <w:rPr>
                <w:rFonts w:ascii="Arial" w:eastAsia="Times New Roman" w:hAnsi="Arial" w:cs="Arial"/>
                <w:lang w:eastAsia="en-GB"/>
              </w:rPr>
            </w:pPr>
            <w:r>
              <w:rPr>
                <w:rFonts w:ascii="Arial" w:eastAsia="Times New Roman" w:hAnsi="Arial" w:cs="Arial"/>
                <w:lang w:eastAsia="en-GB"/>
              </w:rPr>
              <w:t>none</w:t>
            </w:r>
          </w:p>
        </w:tc>
        <w:tc>
          <w:tcPr>
            <w:tcW w:w="1460" w:type="pct"/>
            <w:tcBorders>
              <w:top w:val="nil"/>
              <w:left w:val="nil"/>
              <w:bottom w:val="single" w:sz="4" w:space="0" w:color="A6A6A6" w:themeColor="background1" w:themeShade="A6"/>
              <w:right w:val="single" w:sz="8" w:space="0" w:color="A6A6A6"/>
            </w:tcBorders>
            <w:noWrap/>
            <w:tcMar>
              <w:top w:w="0" w:type="dxa"/>
              <w:left w:w="108" w:type="dxa"/>
              <w:bottom w:w="0" w:type="dxa"/>
              <w:right w:w="108" w:type="dxa"/>
            </w:tcMar>
            <w:vAlign w:val="center"/>
          </w:tcPr>
          <w:p w14:paraId="0C8333BD" w14:textId="77777777" w:rsidR="00A368C6" w:rsidRDefault="00A368C6" w:rsidP="005A5680">
            <w:pPr>
              <w:spacing w:after="120"/>
              <w:rPr>
                <w:rFonts w:ascii="Arial" w:eastAsia="Times New Roman" w:hAnsi="Arial" w:cs="Arial"/>
                <w:lang w:eastAsia="en-GB"/>
              </w:rPr>
            </w:pPr>
            <w:r>
              <w:rPr>
                <w:rFonts w:ascii="Arial" w:eastAsia="Times New Roman" w:hAnsi="Arial" w:cs="Arial"/>
                <w:lang w:eastAsia="en-GB"/>
              </w:rPr>
              <w:t>none</w:t>
            </w:r>
          </w:p>
        </w:tc>
        <w:tc>
          <w:tcPr>
            <w:tcW w:w="696" w:type="pct"/>
            <w:tcBorders>
              <w:top w:val="nil"/>
              <w:left w:val="nil"/>
              <w:bottom w:val="single" w:sz="4" w:space="0" w:color="A6A6A6" w:themeColor="background1" w:themeShade="A6"/>
              <w:right w:val="single" w:sz="8" w:space="0" w:color="A6A6A6"/>
            </w:tcBorders>
          </w:tcPr>
          <w:p w14:paraId="206485B8" w14:textId="77777777" w:rsidR="00A368C6" w:rsidRPr="00684F5A" w:rsidRDefault="00A368C6" w:rsidP="005A5680">
            <w:pPr>
              <w:spacing w:after="120"/>
              <w:rPr>
                <w:rFonts w:ascii="Arial" w:eastAsia="Times New Roman" w:hAnsi="Arial" w:cs="Arial"/>
                <w:lang w:eastAsia="en-GB"/>
              </w:rPr>
            </w:pPr>
            <w:r>
              <w:rPr>
                <w:rFonts w:ascii="Arial" w:eastAsia="Times New Roman" w:hAnsi="Arial" w:cs="Arial"/>
                <w:lang w:eastAsia="en-GB"/>
              </w:rPr>
              <w:t>none</w:t>
            </w:r>
          </w:p>
        </w:tc>
      </w:tr>
      <w:tr w:rsidR="00A368C6" w:rsidRPr="00684F5A" w14:paraId="2F308EC3" w14:textId="77777777" w:rsidTr="001F7C85">
        <w:trPr>
          <w:cantSplit/>
          <w:trHeight w:val="300"/>
        </w:trPr>
        <w:tc>
          <w:tcPr>
            <w:tcW w:w="760" w:type="pct"/>
            <w:tcBorders>
              <w:top w:val="single" w:sz="4" w:space="0" w:color="A6A6A6" w:themeColor="background1" w:themeShade="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DC412D" w14:textId="77777777" w:rsidR="00A368C6" w:rsidRPr="00684F5A" w:rsidRDefault="00A368C6" w:rsidP="005A5680">
            <w:pPr>
              <w:spacing w:after="120"/>
              <w:rPr>
                <w:rFonts w:ascii="Arial" w:eastAsia="Times New Roman" w:hAnsi="Arial" w:cs="Arial"/>
                <w:lang w:eastAsia="en-GB"/>
              </w:rPr>
            </w:pPr>
            <w:r w:rsidRPr="002D7C3E">
              <w:t>CSOs in the sewer network</w:t>
            </w:r>
            <w:r>
              <w:t>.</w:t>
            </w:r>
          </w:p>
        </w:tc>
        <w:tc>
          <w:tcPr>
            <w:tcW w:w="1042" w:type="pct"/>
            <w:tcBorders>
              <w:top w:val="single" w:sz="4" w:space="0" w:color="A6A6A6" w:themeColor="background1" w:themeShade="A6"/>
              <w:left w:val="nil"/>
              <w:bottom w:val="single" w:sz="8" w:space="0" w:color="A6A6A6"/>
              <w:right w:val="single" w:sz="8" w:space="0" w:color="A6A6A6"/>
            </w:tcBorders>
            <w:noWrap/>
            <w:tcMar>
              <w:top w:w="0" w:type="dxa"/>
              <w:left w:w="108" w:type="dxa"/>
              <w:bottom w:w="0" w:type="dxa"/>
              <w:right w:w="108" w:type="dxa"/>
            </w:tcMar>
            <w:vAlign w:val="center"/>
          </w:tcPr>
          <w:p w14:paraId="2D4ACA39" w14:textId="6093B0D7" w:rsidR="00D32A76" w:rsidRPr="007963D6" w:rsidRDefault="00A368C6" w:rsidP="00D32A76">
            <w:pPr>
              <w:spacing w:after="120"/>
            </w:pPr>
            <w:r w:rsidRPr="002D7C3E">
              <w:t xml:space="preserve">Refer to </w:t>
            </w:r>
            <w:bookmarkStart w:id="21" w:name="_Hlk193285541"/>
            <w:r w:rsidR="00F9766F" w:rsidRPr="007963D6">
              <w:t xml:space="preserve">WAT-G-058 </w:t>
            </w:r>
            <w:r w:rsidR="00D32A76" w:rsidRPr="007963D6">
              <w:t>EASR Guidance:</w:t>
            </w:r>
          </w:p>
          <w:p w14:paraId="37BD5136" w14:textId="1CF41AAC" w:rsidR="00A368C6" w:rsidRPr="00684F5A" w:rsidRDefault="00D32A76" w:rsidP="00D32A76">
            <w:pPr>
              <w:spacing w:after="120"/>
              <w:rPr>
                <w:rFonts w:ascii="Arial" w:eastAsia="Times New Roman" w:hAnsi="Arial" w:cs="Arial"/>
                <w:lang w:eastAsia="en-GB"/>
              </w:rPr>
            </w:pPr>
            <w:r w:rsidRPr="007963D6">
              <w:t>Sewer Overflows</w:t>
            </w:r>
            <w:bookmarkEnd w:id="21"/>
          </w:p>
        </w:tc>
        <w:tc>
          <w:tcPr>
            <w:tcW w:w="1042" w:type="pct"/>
            <w:tcBorders>
              <w:top w:val="single" w:sz="4" w:space="0" w:color="A6A6A6" w:themeColor="background1" w:themeShade="A6"/>
              <w:left w:val="nil"/>
              <w:bottom w:val="single" w:sz="8" w:space="0" w:color="A6A6A6"/>
              <w:right w:val="single" w:sz="8" w:space="0" w:color="A6A6A6"/>
            </w:tcBorders>
            <w:noWrap/>
            <w:tcMar>
              <w:top w:w="0" w:type="dxa"/>
              <w:left w:w="108" w:type="dxa"/>
              <w:bottom w:w="0" w:type="dxa"/>
              <w:right w:w="108" w:type="dxa"/>
            </w:tcMar>
            <w:vAlign w:val="center"/>
          </w:tcPr>
          <w:p w14:paraId="7DD23CE6" w14:textId="77777777" w:rsidR="00F9766F" w:rsidRDefault="00A368C6" w:rsidP="00F9766F">
            <w:pPr>
              <w:spacing w:after="120"/>
            </w:pPr>
            <w:r w:rsidRPr="002D7C3E">
              <w:t xml:space="preserve">Refer to </w:t>
            </w:r>
            <w:r w:rsidR="00F9766F">
              <w:t>WAT-G-058 EASR Guidance:</w:t>
            </w:r>
          </w:p>
          <w:p w14:paraId="74E153BD" w14:textId="05774C3A" w:rsidR="00A368C6" w:rsidRPr="00703C8E" w:rsidRDefault="00F9766F" w:rsidP="00F9766F">
            <w:pPr>
              <w:spacing w:after="120"/>
              <w:rPr>
                <w:rFonts w:ascii="Arial" w:eastAsia="Times New Roman" w:hAnsi="Arial" w:cs="Arial"/>
                <w:highlight w:val="yellow"/>
                <w:lang w:eastAsia="en-GB"/>
              </w:rPr>
            </w:pPr>
            <w:r>
              <w:t>Sewer Overflows</w:t>
            </w:r>
          </w:p>
        </w:tc>
        <w:tc>
          <w:tcPr>
            <w:tcW w:w="1460" w:type="pct"/>
            <w:tcBorders>
              <w:top w:val="single" w:sz="4" w:space="0" w:color="A6A6A6" w:themeColor="background1" w:themeShade="A6"/>
              <w:left w:val="nil"/>
              <w:bottom w:val="single" w:sz="8" w:space="0" w:color="A6A6A6"/>
              <w:right w:val="single" w:sz="8" w:space="0" w:color="A6A6A6"/>
            </w:tcBorders>
            <w:noWrap/>
            <w:tcMar>
              <w:top w:w="0" w:type="dxa"/>
              <w:left w:w="108" w:type="dxa"/>
              <w:bottom w:w="0" w:type="dxa"/>
              <w:right w:w="108" w:type="dxa"/>
            </w:tcMar>
            <w:vAlign w:val="center"/>
          </w:tcPr>
          <w:p w14:paraId="141021F8" w14:textId="77777777" w:rsidR="00F9766F" w:rsidRDefault="00A368C6" w:rsidP="00F9766F">
            <w:pPr>
              <w:spacing w:after="120"/>
            </w:pPr>
            <w:r w:rsidRPr="002D7C3E">
              <w:t xml:space="preserve">Refer to </w:t>
            </w:r>
            <w:r w:rsidR="00F9766F">
              <w:t>WAT-G-058 EASR Guidance:</w:t>
            </w:r>
          </w:p>
          <w:p w14:paraId="035672AC" w14:textId="02FA8BA0" w:rsidR="00A368C6" w:rsidRPr="00703C8E" w:rsidRDefault="00F9766F" w:rsidP="00F9766F">
            <w:pPr>
              <w:spacing w:after="120"/>
              <w:rPr>
                <w:rFonts w:ascii="Arial" w:eastAsia="Times New Roman" w:hAnsi="Arial" w:cs="Arial"/>
                <w:highlight w:val="yellow"/>
                <w:lang w:eastAsia="en-GB"/>
              </w:rPr>
            </w:pPr>
            <w:r>
              <w:t>Sewer Overflows</w:t>
            </w:r>
          </w:p>
        </w:tc>
        <w:tc>
          <w:tcPr>
            <w:tcW w:w="696" w:type="pct"/>
            <w:tcBorders>
              <w:top w:val="single" w:sz="4" w:space="0" w:color="A6A6A6" w:themeColor="background1" w:themeShade="A6"/>
              <w:left w:val="nil"/>
              <w:bottom w:val="single" w:sz="8" w:space="0" w:color="A6A6A6"/>
              <w:right w:val="single" w:sz="8" w:space="0" w:color="A6A6A6"/>
            </w:tcBorders>
          </w:tcPr>
          <w:p w14:paraId="252857FA" w14:textId="77777777" w:rsidR="00F9766F" w:rsidRDefault="00A368C6" w:rsidP="00F9766F">
            <w:pPr>
              <w:spacing w:after="120"/>
            </w:pPr>
            <w:r w:rsidRPr="002D7C3E">
              <w:t xml:space="preserve">Refer to </w:t>
            </w:r>
            <w:r w:rsidR="00F9766F">
              <w:t>WAT-G-058 EASR Guidance:</w:t>
            </w:r>
          </w:p>
          <w:p w14:paraId="2679F173" w14:textId="04276E17" w:rsidR="00A368C6" w:rsidRPr="00703C8E" w:rsidRDefault="00F9766F" w:rsidP="00F9766F">
            <w:pPr>
              <w:spacing w:after="120"/>
              <w:rPr>
                <w:rFonts w:ascii="Arial" w:eastAsia="Times New Roman" w:hAnsi="Arial" w:cs="Arial"/>
                <w:highlight w:val="yellow"/>
                <w:lang w:eastAsia="en-GB"/>
              </w:rPr>
            </w:pPr>
            <w:r>
              <w:t>Sewer Overflows</w:t>
            </w:r>
          </w:p>
        </w:tc>
      </w:tr>
    </w:tbl>
    <w:p w14:paraId="20A1EDA0" w14:textId="2FEB13E1" w:rsidR="00A368C6" w:rsidRPr="00D72A34" w:rsidRDefault="00A368C6" w:rsidP="00A368C6">
      <w:pPr>
        <w:pStyle w:val="BodyText1"/>
        <w:rPr>
          <w:rStyle w:val="Bold"/>
          <w:b w:val="0"/>
        </w:rPr>
      </w:pPr>
      <w:r w:rsidRPr="00C97571">
        <w:rPr>
          <w:vertAlign w:val="superscript"/>
        </w:rPr>
        <w:t>1</w:t>
      </w:r>
      <w:r w:rsidRPr="00C97571">
        <w:t xml:space="preserve">These are minimum requirements for new STWs. Additional facilities may be required in certain situations. Improvements to existing STWs should be agreed through the agreed investment process. (Refer to </w:t>
      </w:r>
      <w:r w:rsidRPr="008372B5">
        <w:rPr>
          <w:rFonts w:cs="Arial"/>
        </w:rPr>
        <w:t>CAS-G-003: Flow/Event Monitoring at Scottish Water STWs</w:t>
      </w:r>
      <w:r w:rsidRPr="00C97571">
        <w:t>).</w:t>
      </w:r>
      <w:r w:rsidRPr="002D7C3E">
        <w:cr/>
      </w:r>
      <w:r w:rsidRPr="002D7C3E">
        <w:rPr>
          <w:vertAlign w:val="superscript"/>
        </w:rPr>
        <w:t>2</w:t>
      </w:r>
      <w:r w:rsidRPr="002D7C3E">
        <w:t xml:space="preserve"> For discharges to coastal waters, inlet flow monitor </w:t>
      </w:r>
      <w:r>
        <w:t xml:space="preserve">is </w:t>
      </w:r>
      <w:r w:rsidRPr="002D7C3E">
        <w:t>not required if STW serves 2-10,000</w:t>
      </w:r>
      <w:r w:rsidR="00B24C56">
        <w:t xml:space="preserve"> </w:t>
      </w:r>
      <w:r w:rsidRPr="002D7C3E">
        <w:t xml:space="preserve">pe, unless </w:t>
      </w:r>
      <w:r>
        <w:t xml:space="preserve">the </w:t>
      </w:r>
      <w:r w:rsidRPr="002D7C3E">
        <w:t xml:space="preserve">discharge is to Bathing/Shellfish Waters. i.e. only required for UWWTD qualifying discharges unless to Bathing/Shellfish Waters. </w:t>
      </w:r>
      <w:r w:rsidRPr="002D7C3E">
        <w:cr/>
      </w:r>
      <w:r w:rsidRPr="002D7C3E">
        <w:rPr>
          <w:vertAlign w:val="superscript"/>
        </w:rPr>
        <w:t>3</w:t>
      </w:r>
      <w:r w:rsidRPr="002D7C3E">
        <w:t xml:space="preserve"> Not </w:t>
      </w:r>
      <w:r w:rsidR="0043787B">
        <w:t xml:space="preserve">normally </w:t>
      </w:r>
      <w:r w:rsidRPr="002D7C3E">
        <w:t xml:space="preserve">required by </w:t>
      </w:r>
      <w:r w:rsidR="000033B0">
        <w:t>permits</w:t>
      </w:r>
      <w:r w:rsidRPr="002D7C3E">
        <w:t xml:space="preserve"> for 2-15</w:t>
      </w:r>
      <w:r>
        <w:t>,000</w:t>
      </w:r>
      <w:r w:rsidR="00B24C56">
        <w:t xml:space="preserve"> </w:t>
      </w:r>
      <w:r w:rsidRPr="002D7C3E">
        <w:t>pe STWs.</w:t>
      </w:r>
      <w:r w:rsidRPr="002D7C3E">
        <w:cr/>
      </w:r>
      <w:r w:rsidRPr="002D7C3E">
        <w:rPr>
          <w:vertAlign w:val="superscript"/>
        </w:rPr>
        <w:t>4</w:t>
      </w:r>
      <w:r w:rsidRPr="002D7C3E">
        <w:t xml:space="preserve"> May</w:t>
      </w:r>
      <w:r>
        <w:t xml:space="preserve"> </w:t>
      </w:r>
      <w:proofErr w:type="gramStart"/>
      <w:r w:rsidRPr="002D7C3E">
        <w:t>not be</w:t>
      </w:r>
      <w:proofErr w:type="gramEnd"/>
      <w:r w:rsidRPr="002D7C3E">
        <w:t xml:space="preserve"> required depending on risk assessment.</w:t>
      </w:r>
    </w:p>
    <w:p w14:paraId="7F25CE2A" w14:textId="77777777" w:rsidR="00A368C6" w:rsidRPr="00007F6B" w:rsidRDefault="00A368C6" w:rsidP="00A368C6">
      <w:pPr>
        <w:pStyle w:val="Heading2"/>
      </w:pPr>
      <w:bookmarkStart w:id="22" w:name="_Toc364167797"/>
      <w:bookmarkStart w:id="23" w:name="_Toc174697457"/>
      <w:bookmarkStart w:id="24" w:name="_Toc184195280"/>
      <w:bookmarkStart w:id="25" w:name="_Toc193873840"/>
      <w:r w:rsidRPr="00007F6B">
        <w:lastRenderedPageBreak/>
        <w:t xml:space="preserve">2.2 </w:t>
      </w:r>
      <w:r w:rsidRPr="00007F6B">
        <w:tab/>
        <w:t>Facilities for STWs serving more than 2000 </w:t>
      </w:r>
      <w:proofErr w:type="spellStart"/>
      <w:r w:rsidRPr="00007F6B">
        <w:t>p.e.</w:t>
      </w:r>
      <w:bookmarkEnd w:id="22"/>
      <w:bookmarkEnd w:id="23"/>
      <w:bookmarkEnd w:id="24"/>
      <w:bookmarkEnd w:id="25"/>
      <w:proofErr w:type="spellEnd"/>
    </w:p>
    <w:p w14:paraId="6863268E" w14:textId="77777777" w:rsidR="00A368C6" w:rsidRDefault="00A368C6" w:rsidP="00A368C6">
      <w:pPr>
        <w:pStyle w:val="BodyText1"/>
      </w:pPr>
      <w:r w:rsidRPr="002D7C3E">
        <w:t xml:space="preserve">Facilities for all sewage treatment works serving &gt;2000 </w:t>
      </w:r>
      <w:proofErr w:type="spellStart"/>
      <w:r w:rsidRPr="002D7C3E">
        <w:t>p.e.</w:t>
      </w:r>
      <w:proofErr w:type="spellEnd"/>
      <w:r w:rsidRPr="002D7C3E">
        <w:t xml:space="preserve"> should include, as a minimum, flow measurement structures and flow monitors to continuously monitor</w:t>
      </w:r>
      <w:r>
        <w:t>:</w:t>
      </w:r>
      <w:r w:rsidRPr="002D7C3E">
        <w:t xml:space="preserve"> </w:t>
      </w:r>
    </w:p>
    <w:p w14:paraId="3ECAF4D2" w14:textId="77777777" w:rsidR="00A368C6" w:rsidRDefault="00A368C6" w:rsidP="00A368C6">
      <w:pPr>
        <w:pStyle w:val="BodyText1"/>
        <w:numPr>
          <w:ilvl w:val="0"/>
          <w:numId w:val="22"/>
        </w:numPr>
      </w:pPr>
      <w:r>
        <w:t>I</w:t>
      </w:r>
      <w:r w:rsidRPr="002D7C3E">
        <w:t xml:space="preserve">nlet flows (see </w:t>
      </w:r>
      <w:r w:rsidRPr="002D7C3E">
        <w:rPr>
          <w:color w:val="2B579A"/>
          <w:shd w:val="clear" w:color="auto" w:fill="E6E6E6"/>
        </w:rPr>
        <w:fldChar w:fldCharType="begin"/>
      </w:r>
      <w:r w:rsidRPr="002D7C3E">
        <w:instrText xml:space="preserve"> REF _Ref364171448 \r \h  \* MERGEFORMAT </w:instrText>
      </w:r>
      <w:r w:rsidRPr="002D7C3E">
        <w:rPr>
          <w:color w:val="2B579A"/>
          <w:shd w:val="clear" w:color="auto" w:fill="E6E6E6"/>
        </w:rPr>
      </w:r>
      <w:r w:rsidRPr="002D7C3E">
        <w:rPr>
          <w:color w:val="2B579A"/>
          <w:shd w:val="clear" w:color="auto" w:fill="E6E6E6"/>
        </w:rPr>
        <w:fldChar w:fldCharType="separate"/>
      </w:r>
      <w:r w:rsidRPr="002D7C3E">
        <w:t>Table 1</w:t>
      </w:r>
      <w:r w:rsidRPr="002D7C3E">
        <w:rPr>
          <w:color w:val="2B579A"/>
          <w:shd w:val="clear" w:color="auto" w:fill="E6E6E6"/>
        </w:rPr>
        <w:fldChar w:fldCharType="end"/>
      </w:r>
      <w:r w:rsidRPr="002D7C3E">
        <w:t>)</w:t>
      </w:r>
    </w:p>
    <w:p w14:paraId="0B1EF0F6" w14:textId="77777777" w:rsidR="00A368C6" w:rsidRDefault="00A368C6" w:rsidP="00A368C6">
      <w:pPr>
        <w:pStyle w:val="BodyText1"/>
        <w:numPr>
          <w:ilvl w:val="0"/>
          <w:numId w:val="22"/>
        </w:numPr>
      </w:pPr>
      <w:r>
        <w:t>T</w:t>
      </w:r>
      <w:r w:rsidRPr="002D7C3E">
        <w:t>he flow passing forward for full treatment</w:t>
      </w:r>
      <w:r>
        <w:t>; and</w:t>
      </w:r>
    </w:p>
    <w:p w14:paraId="3D0ECA96" w14:textId="77777777" w:rsidR="00A368C6" w:rsidRPr="002D7C3E" w:rsidRDefault="00A368C6" w:rsidP="00A368C6">
      <w:pPr>
        <w:pStyle w:val="BodyText1"/>
        <w:numPr>
          <w:ilvl w:val="0"/>
          <w:numId w:val="22"/>
        </w:numPr>
      </w:pPr>
      <w:r>
        <w:t>A</w:t>
      </w:r>
      <w:r w:rsidRPr="002D7C3E">
        <w:t>n event recorder at all storm overflow weirs.</w:t>
      </w:r>
    </w:p>
    <w:p w14:paraId="7B7E9F53" w14:textId="77777777" w:rsidR="00A368C6" w:rsidRPr="002D7C3E" w:rsidRDefault="00A368C6" w:rsidP="00A368C6">
      <w:pPr>
        <w:pStyle w:val="BodyText1"/>
      </w:pPr>
      <w:r w:rsidRPr="002D7C3E">
        <w:t>The FFT flows should be able to be assessed without the contribution of any return liquors, recirculates etc.</w:t>
      </w:r>
    </w:p>
    <w:p w14:paraId="43B33441" w14:textId="77777777" w:rsidR="00A368C6" w:rsidRPr="002D7C3E" w:rsidRDefault="00A368C6" w:rsidP="00A368C6">
      <w:pPr>
        <w:pStyle w:val="BodyText1"/>
      </w:pPr>
      <w:r w:rsidRPr="002D7C3E">
        <w:t xml:space="preserve">Monitoring of inlet flows can allow determination of </w:t>
      </w:r>
      <w:proofErr w:type="gramStart"/>
      <w:r w:rsidRPr="002D7C3E">
        <w:t>infiltration</w:t>
      </w:r>
      <w:proofErr w:type="gramEnd"/>
      <w:r w:rsidRPr="002D7C3E">
        <w:t xml:space="preserve"> and the total volumes of sewage spilled at the storm overflows.</w:t>
      </w:r>
    </w:p>
    <w:p w14:paraId="4CE87A41" w14:textId="77777777" w:rsidR="00A368C6" w:rsidRPr="002D7C3E" w:rsidRDefault="00A368C6" w:rsidP="00A368C6">
      <w:pPr>
        <w:pStyle w:val="BodyText1"/>
      </w:pPr>
      <w:r>
        <w:t>There</w:t>
      </w:r>
      <w:r w:rsidRPr="002D7C3E">
        <w:t xml:space="preserve"> may be more than one means of determining the required flow information depending on the layout of the STW and the configuration of the flow meters. If required</w:t>
      </w:r>
      <w:r>
        <w:t>,</w:t>
      </w:r>
      <w:r w:rsidRPr="002D7C3E">
        <w:t xml:space="preserve"> flows can be derived by adding or subtracting flows from alternative flow meters</w:t>
      </w:r>
      <w:r>
        <w:t>.</w:t>
      </w:r>
    </w:p>
    <w:p w14:paraId="0DA6E4E3" w14:textId="67D18B58" w:rsidR="00A368C6" w:rsidRPr="002D7C3E" w:rsidRDefault="00A368C6" w:rsidP="00A368C6">
      <w:pPr>
        <w:pStyle w:val="BodyText1"/>
      </w:pPr>
      <w:r>
        <w:t>There</w:t>
      </w:r>
      <w:r w:rsidRPr="002D7C3E">
        <w:t xml:space="preserve"> are physical constraints at many existing STWs that limit where flow monitors may operate effectively. In many cases a compromise may be necessary, and this </w:t>
      </w:r>
      <w:r w:rsidR="00510A83">
        <w:t>will</w:t>
      </w:r>
      <w:r w:rsidRPr="002D7C3E">
        <w:t xml:space="preserve"> be </w:t>
      </w:r>
      <w:proofErr w:type="gramStart"/>
      <w:r w:rsidRPr="002D7C3E">
        <w:t>taken into account</w:t>
      </w:r>
      <w:proofErr w:type="gramEnd"/>
      <w:r w:rsidRPr="002D7C3E">
        <w:t xml:space="preserve"> in any compliance assessment.</w:t>
      </w:r>
    </w:p>
    <w:p w14:paraId="56A780B3" w14:textId="5F3596C6" w:rsidR="00A368C6" w:rsidRPr="002D7C3E" w:rsidRDefault="000033B0" w:rsidP="00A368C6">
      <w:pPr>
        <w:pStyle w:val="BodyText1"/>
      </w:pPr>
      <w:r>
        <w:t>Permits</w:t>
      </w:r>
      <w:r w:rsidR="00A368C6" w:rsidRPr="002D7C3E">
        <w:t xml:space="preserve"> have conditions specifying minimum pass forward flows at overflow weirs at FFT and at any other overflows upstream </w:t>
      </w:r>
      <w:proofErr w:type="spellStart"/>
      <w:r w:rsidR="00A368C6" w:rsidRPr="002D7C3E">
        <w:t>e.g</w:t>
      </w:r>
      <w:proofErr w:type="spellEnd"/>
      <w:r w:rsidR="00A368C6" w:rsidRPr="002D7C3E">
        <w:t xml:space="preserve"> Formula A. In many situations compliance with this condition can be demonstrated without the need for a continuous flow monitor e.g. by using fixed hydraulics in the flow channel (such as a fixed weir plate) to ensure that minimum PFFs are being complied with. In other, possibly higher risk situations, an FFT monitor may be required to determine pass forward flows.</w:t>
      </w:r>
    </w:p>
    <w:p w14:paraId="7301419E" w14:textId="77777777" w:rsidR="00A368C6" w:rsidRDefault="00A368C6" w:rsidP="00A368C6">
      <w:pPr>
        <w:pStyle w:val="BodyText1"/>
      </w:pPr>
      <w:r w:rsidRPr="002D7C3E">
        <w:t>At each storm overflow weir or bypass channel overflow there should be, as a minimum, an event recorder to record the start and finish date/time of overflow events.</w:t>
      </w:r>
    </w:p>
    <w:p w14:paraId="123F4E80" w14:textId="77777777" w:rsidR="00A368C6" w:rsidRDefault="00A368C6" w:rsidP="00A368C6">
      <w:pPr>
        <w:pStyle w:val="Heading2"/>
      </w:pPr>
      <w:bookmarkStart w:id="26" w:name="_Toc184195281"/>
      <w:bookmarkStart w:id="27" w:name="_Toc193873841"/>
      <w:r>
        <w:lastRenderedPageBreak/>
        <w:t>2.3</w:t>
      </w:r>
      <w:r>
        <w:tab/>
        <w:t xml:space="preserve">Facilities for STW serving less than 2000 </w:t>
      </w:r>
      <w:proofErr w:type="spellStart"/>
      <w:r>
        <w:t>p.e.</w:t>
      </w:r>
      <w:bookmarkEnd w:id="26"/>
      <w:bookmarkEnd w:id="27"/>
      <w:proofErr w:type="spellEnd"/>
    </w:p>
    <w:p w14:paraId="21B340F8" w14:textId="77777777" w:rsidR="00A368C6" w:rsidRPr="003C039C" w:rsidRDefault="00A368C6" w:rsidP="00A368C6">
      <w:pPr>
        <w:pStyle w:val="BodyText1"/>
      </w:pPr>
      <w:r>
        <w:t>At</w:t>
      </w:r>
      <w:r w:rsidRPr="003C039C">
        <w:t xml:space="preserve"> works serving ≤2000 </w:t>
      </w:r>
      <w:proofErr w:type="spellStart"/>
      <w:r w:rsidRPr="003C039C">
        <w:t>p.e.</w:t>
      </w:r>
      <w:proofErr w:type="spellEnd"/>
      <w:r w:rsidRPr="003C039C">
        <w:t xml:space="preserve"> the facilities will depend on the </w:t>
      </w:r>
      <w:proofErr w:type="spellStart"/>
      <w:r w:rsidRPr="003C039C">
        <w:t>p.e.</w:t>
      </w:r>
      <w:proofErr w:type="spellEnd"/>
      <w:r w:rsidRPr="003C039C">
        <w:t xml:space="preserve"> of the STW and the risk of the discharge as detailed in </w:t>
      </w:r>
      <w:r w:rsidRPr="003C039C">
        <w:fldChar w:fldCharType="begin"/>
      </w:r>
      <w:r w:rsidRPr="003C039C">
        <w:instrText xml:space="preserve"> REF _Ref364171448 \r \h  \* MERGEFORMAT </w:instrText>
      </w:r>
      <w:r w:rsidRPr="003C039C">
        <w:fldChar w:fldCharType="separate"/>
      </w:r>
      <w:r w:rsidRPr="003C039C">
        <w:t>Table 1</w:t>
      </w:r>
      <w:r w:rsidRPr="003C039C">
        <w:fldChar w:fldCharType="end"/>
      </w:r>
      <w:r w:rsidRPr="003C039C">
        <w:t>. As a minimum, for STWs serving 500-2000p.e., this should include a structure to enable FFT to be measured.</w:t>
      </w:r>
    </w:p>
    <w:p w14:paraId="74D033F8" w14:textId="586117B9" w:rsidR="00A368C6" w:rsidRDefault="00A368C6" w:rsidP="00A368C6">
      <w:pPr>
        <w:pStyle w:val="BodyText1"/>
        <w:rPr>
          <w:rStyle w:val="Bold"/>
        </w:rPr>
      </w:pPr>
      <w:r w:rsidRPr="003C039C">
        <w:t xml:space="preserve">The influent DWF (as specified and limited in the </w:t>
      </w:r>
      <w:r w:rsidR="000033B0">
        <w:t>permit</w:t>
      </w:r>
      <w:r w:rsidRPr="003C039C">
        <w:t>) can be derived from a FFT monitor since under dry weather conditions these 2 flows will be identical. FFT flows approximate to final effluent flows and so the mean daily flow and standard deviation can be derived from the FFT monitor.</w:t>
      </w:r>
    </w:p>
    <w:p w14:paraId="7266B50A" w14:textId="77777777" w:rsidR="00A368C6" w:rsidRPr="006B053C" w:rsidRDefault="00A368C6" w:rsidP="00A368C6">
      <w:pPr>
        <w:pStyle w:val="Heading2"/>
      </w:pPr>
      <w:bookmarkStart w:id="28" w:name="_Toc364167800"/>
      <w:bookmarkStart w:id="29" w:name="_Toc157763840"/>
      <w:bookmarkStart w:id="30" w:name="_Toc184195282"/>
      <w:bookmarkStart w:id="31" w:name="_Toc193873842"/>
      <w:r w:rsidRPr="006B053C">
        <w:t>2.</w:t>
      </w:r>
      <w:r>
        <w:t>4</w:t>
      </w:r>
      <w:r w:rsidRPr="006B053C">
        <w:tab/>
        <w:t>Sewage pumping stations with storm/emergency overflows</w:t>
      </w:r>
      <w:bookmarkEnd w:id="28"/>
      <w:bookmarkEnd w:id="29"/>
      <w:bookmarkEnd w:id="30"/>
      <w:bookmarkEnd w:id="31"/>
    </w:p>
    <w:p w14:paraId="693C3BE3" w14:textId="3FC2A05A" w:rsidR="00A368C6" w:rsidRDefault="00A368C6" w:rsidP="00A368C6">
      <w:pPr>
        <w:pStyle w:val="BodyText1"/>
        <w:rPr>
          <w:rStyle w:val="Bold"/>
        </w:rPr>
      </w:pPr>
      <w:r w:rsidRPr="006B053C">
        <w:t xml:space="preserve">Sewage pumping stations with storm/emergency overflows </w:t>
      </w:r>
      <w:r w:rsidR="00510A83">
        <w:t>will</w:t>
      </w:r>
      <w:r w:rsidRPr="006B053C">
        <w:t xml:space="preserve"> be dealt with in the same way as CSO structures. However, in this case a measurement of pump capacities (e.g. by drop down tests) will provide the pass forward flow, and hours run meters will enable an estimation of volumes of sewage pass forward flow to treatment to be made. Event recorders and inlet flow measurement structures/monitors may be justified in sensitive locations.</w:t>
      </w:r>
    </w:p>
    <w:p w14:paraId="46D26C06" w14:textId="77777777" w:rsidR="00A368C6" w:rsidRPr="00EC0DEE" w:rsidRDefault="00A368C6" w:rsidP="00A368C6">
      <w:pPr>
        <w:pStyle w:val="Heading2"/>
      </w:pPr>
      <w:bookmarkStart w:id="32" w:name="_Toc364167801"/>
      <w:bookmarkStart w:id="33" w:name="_Ref364169639"/>
      <w:bookmarkStart w:id="34" w:name="_Toc157763841"/>
      <w:bookmarkStart w:id="35" w:name="_Toc184195283"/>
      <w:bookmarkStart w:id="36" w:name="_Toc193873843"/>
      <w:r w:rsidRPr="00EC0DEE">
        <w:t>2.</w:t>
      </w:r>
      <w:r>
        <w:t>5</w:t>
      </w:r>
      <w:r w:rsidRPr="00EC0DEE">
        <w:tab/>
        <w:t>Recording</w:t>
      </w:r>
      <w:bookmarkEnd w:id="32"/>
      <w:bookmarkEnd w:id="33"/>
      <w:bookmarkEnd w:id="34"/>
      <w:bookmarkEnd w:id="35"/>
      <w:bookmarkEnd w:id="36"/>
    </w:p>
    <w:p w14:paraId="118705FD" w14:textId="77777777" w:rsidR="00A368C6" w:rsidRPr="00EC0DEE" w:rsidRDefault="00A368C6" w:rsidP="00A368C6">
      <w:pPr>
        <w:pStyle w:val="BodyText1"/>
      </w:pPr>
      <w:r w:rsidRPr="00EC0DEE">
        <w:t>Where flow monitors are permanently installed, the operator is normally required to record instantaneous flow rates to enable the following to be provided on request:</w:t>
      </w:r>
    </w:p>
    <w:p w14:paraId="03FD6C4B" w14:textId="77777777" w:rsidR="00A368C6" w:rsidRPr="00EC0DEE" w:rsidRDefault="00A368C6" w:rsidP="00A368C6">
      <w:pPr>
        <w:pStyle w:val="BodyText1"/>
        <w:numPr>
          <w:ilvl w:val="0"/>
          <w:numId w:val="23"/>
        </w:numPr>
      </w:pPr>
      <w:r>
        <w:t>T</w:t>
      </w:r>
      <w:r w:rsidRPr="00EC0DEE">
        <w:t>he dry weather flow of the influent sewage (determined on an annual basis)</w:t>
      </w:r>
      <w:r>
        <w:t>.</w:t>
      </w:r>
    </w:p>
    <w:p w14:paraId="2C302142" w14:textId="77777777" w:rsidR="00A368C6" w:rsidRPr="00EC0DEE" w:rsidRDefault="00A368C6" w:rsidP="00A368C6">
      <w:pPr>
        <w:pStyle w:val="BodyText1"/>
        <w:numPr>
          <w:ilvl w:val="0"/>
          <w:numId w:val="23"/>
        </w:numPr>
      </w:pPr>
      <w:r>
        <w:t>T</w:t>
      </w:r>
      <w:r w:rsidRPr="00EC0DEE">
        <w:t>he mean daily flow and standard deviation of daily flow of the effluent (determined on an annual basis)</w:t>
      </w:r>
      <w:r>
        <w:t>.</w:t>
      </w:r>
    </w:p>
    <w:p w14:paraId="4D78BAAA" w14:textId="77777777" w:rsidR="00A368C6" w:rsidRPr="00EC0DEE" w:rsidRDefault="00A368C6" w:rsidP="00A368C6">
      <w:pPr>
        <w:pStyle w:val="BodyText1"/>
        <w:numPr>
          <w:ilvl w:val="0"/>
          <w:numId w:val="23"/>
        </w:numPr>
      </w:pPr>
      <w:r>
        <w:t>T</w:t>
      </w:r>
      <w:r w:rsidRPr="00EC0DEE">
        <w:t>he rate of flow of sewage passing forward at the combined storm overflow weir and/or at the settled storm overflow weir for full treatment (FFT)</w:t>
      </w:r>
    </w:p>
    <w:p w14:paraId="2B9DF5DC" w14:textId="77777777" w:rsidR="00A368C6" w:rsidRPr="00EC0DEE" w:rsidRDefault="00A368C6" w:rsidP="00A368C6">
      <w:pPr>
        <w:pStyle w:val="BodyText1"/>
        <w:numPr>
          <w:ilvl w:val="0"/>
          <w:numId w:val="23"/>
        </w:numPr>
      </w:pPr>
      <w:r>
        <w:t xml:space="preserve">The </w:t>
      </w:r>
      <w:r w:rsidRPr="00EC0DEE">
        <w:t>frequency and duration of overflow events (i.e. the start and finish date and time of each overflow event)</w:t>
      </w:r>
      <w:r>
        <w:t xml:space="preserve">. </w:t>
      </w:r>
      <w:r w:rsidRPr="00EC0DEE">
        <w:t xml:space="preserve">The continuous FFT record should normally be based on </w:t>
      </w:r>
      <w:proofErr w:type="gramStart"/>
      <w:r w:rsidRPr="00EC0DEE">
        <w:t>15 minute</w:t>
      </w:r>
      <w:proofErr w:type="gramEnd"/>
      <w:r w:rsidRPr="00EC0DEE">
        <w:t xml:space="preserve"> readings.</w:t>
      </w:r>
    </w:p>
    <w:p w14:paraId="65EDB430" w14:textId="77777777" w:rsidR="00A368C6" w:rsidRPr="00EC0DEE" w:rsidRDefault="00A368C6" w:rsidP="00A368C6">
      <w:pPr>
        <w:pStyle w:val="BodyText1"/>
        <w:numPr>
          <w:ilvl w:val="0"/>
          <w:numId w:val="23"/>
        </w:numPr>
      </w:pPr>
      <w:r w:rsidRPr="00EC0DEE">
        <w:t>In certain locations the volume discharged during each overflow event.</w:t>
      </w:r>
    </w:p>
    <w:p w14:paraId="6B268946" w14:textId="77777777" w:rsidR="00A368C6" w:rsidRDefault="00A368C6" w:rsidP="00A368C6">
      <w:pPr>
        <w:pStyle w:val="BodyText1"/>
        <w:numPr>
          <w:ilvl w:val="0"/>
          <w:numId w:val="23"/>
        </w:numPr>
        <w:rPr>
          <w:rStyle w:val="Bold"/>
        </w:rPr>
      </w:pPr>
      <w:r w:rsidRPr="00EC0DEE">
        <w:lastRenderedPageBreak/>
        <w:t>The summary flow statistics (DWF and mean daily flow)</w:t>
      </w:r>
      <w:r>
        <w:t>. These</w:t>
      </w:r>
      <w:r w:rsidRPr="00EC0DEE">
        <w:t xml:space="preserve"> should be determined from the continuous FFT and daily volume records.</w:t>
      </w:r>
    </w:p>
    <w:p w14:paraId="406D3B97" w14:textId="77777777" w:rsidR="00A368C6" w:rsidRPr="005E7BD0" w:rsidRDefault="00A368C6" w:rsidP="00A368C6">
      <w:pPr>
        <w:pStyle w:val="Heading2"/>
      </w:pPr>
      <w:bookmarkStart w:id="37" w:name="_Toc364167802"/>
      <w:bookmarkStart w:id="38" w:name="_Toc157763842"/>
      <w:bookmarkStart w:id="39" w:name="_Toc184195284"/>
      <w:bookmarkStart w:id="40" w:name="_Toc193873844"/>
      <w:r w:rsidRPr="005E7BD0">
        <w:t>2.</w:t>
      </w:r>
      <w:r>
        <w:t>6</w:t>
      </w:r>
      <w:r w:rsidRPr="005E7BD0">
        <w:tab/>
        <w:t>Compliance Inspections</w:t>
      </w:r>
      <w:bookmarkEnd w:id="37"/>
      <w:bookmarkEnd w:id="38"/>
      <w:bookmarkEnd w:id="39"/>
      <w:bookmarkEnd w:id="40"/>
    </w:p>
    <w:p w14:paraId="78D57637" w14:textId="517EA209" w:rsidR="00A368C6" w:rsidRDefault="00A368C6" w:rsidP="001F7C85">
      <w:pPr>
        <w:pStyle w:val="BodyText1"/>
      </w:pPr>
      <w:r w:rsidRPr="001F7C85">
        <w:t xml:space="preserve">CAS-G-004: Flow Recording and Reporting at Sewage Treatment Works and on the </w:t>
      </w:r>
      <w:proofErr w:type="gramStart"/>
      <w:r w:rsidRPr="001F7C85">
        <w:t>Sewer</w:t>
      </w:r>
      <w:proofErr w:type="gramEnd"/>
      <w:r w:rsidRPr="001F7C85">
        <w:t xml:space="preserve"> Network</w:t>
      </w:r>
      <w:r w:rsidRPr="005E7BD0">
        <w:t xml:space="preserve"> </w:t>
      </w:r>
      <w:r>
        <w:t xml:space="preserve">provides </w:t>
      </w:r>
      <w:r w:rsidRPr="005E7BD0">
        <w:t>guidance on assessing recording and reporting of flows.</w:t>
      </w:r>
    </w:p>
    <w:p w14:paraId="30250F99" w14:textId="4730A0F1" w:rsidR="00A368C6" w:rsidRDefault="00A368C6" w:rsidP="001F7C85">
      <w:pPr>
        <w:pStyle w:val="BodyText1"/>
      </w:pPr>
      <w:r w:rsidRPr="005E7BD0">
        <w:t xml:space="preserve">The </w:t>
      </w:r>
      <w:r w:rsidR="000033B0">
        <w:t>permit</w:t>
      </w:r>
      <w:r w:rsidRPr="005E7BD0">
        <w:t xml:space="preserve"> requires keeping of flow records for 5 years which </w:t>
      </w:r>
      <w:r w:rsidR="00510A83">
        <w:t>will</w:t>
      </w:r>
      <w:r w:rsidRPr="005E7BD0">
        <w:t xml:space="preserve"> be checked during inspections. </w:t>
      </w:r>
      <w:proofErr w:type="gramStart"/>
      <w:r w:rsidRPr="005E7BD0">
        <w:t>In order to</w:t>
      </w:r>
      <w:proofErr w:type="gramEnd"/>
      <w:r w:rsidRPr="005E7BD0">
        <w:t xml:space="preserve"> assess that the required flows are being treated during storm events, an inspection of the records of pass forward flows to full treatment</w:t>
      </w:r>
      <w:r>
        <w:t xml:space="preserve"> </w:t>
      </w:r>
      <w:r w:rsidR="00510A83">
        <w:t>will</w:t>
      </w:r>
      <w:r>
        <w:t xml:space="preserve"> be made</w:t>
      </w:r>
      <w:r w:rsidRPr="005E7BD0">
        <w:t xml:space="preserve">. In addition, where appropriate, influent DWFs, final effluent flows and event records </w:t>
      </w:r>
      <w:r w:rsidR="00510A83">
        <w:t>will</w:t>
      </w:r>
      <w:r w:rsidRPr="005E7BD0">
        <w:t xml:space="preserve"> be inspected.</w:t>
      </w:r>
    </w:p>
    <w:p w14:paraId="18D41E8D" w14:textId="6D10BB29" w:rsidR="00A368C6" w:rsidRPr="005E7BD0" w:rsidRDefault="00A368C6" w:rsidP="00A368C6">
      <w:pPr>
        <w:pStyle w:val="BodyText1"/>
      </w:pPr>
      <w:r w:rsidRPr="005E7BD0">
        <w:t xml:space="preserve">Should the inspection coincide with a storm event, the instantaneous pass forward flow to full treatment </w:t>
      </w:r>
      <w:r w:rsidR="00510A83">
        <w:t>will</w:t>
      </w:r>
      <w:r w:rsidRPr="005E7BD0">
        <w:t xml:space="preserve"> be checked at that time. </w:t>
      </w:r>
      <w:r w:rsidRPr="00C97571">
        <w:t>The operator should be aware of the FFT requirement.</w:t>
      </w:r>
    </w:p>
    <w:p w14:paraId="1CA4C305" w14:textId="11D41E71" w:rsidR="00A368C6" w:rsidRDefault="00A368C6" w:rsidP="00A368C6">
      <w:pPr>
        <w:pStyle w:val="BodyText1"/>
      </w:pPr>
      <w:r w:rsidRPr="005E7BD0">
        <w:t xml:space="preserve">For guidance on how to assess compliance with the </w:t>
      </w:r>
      <w:r w:rsidR="000033B0">
        <w:t>permit</w:t>
      </w:r>
      <w:r w:rsidRPr="005E7BD0">
        <w:t xml:space="preserve"> condition requiring calibration of flow/event monitoring equipment, refer to </w:t>
      </w:r>
      <w:r w:rsidRPr="001F7C85">
        <w:rPr>
          <w:bCs/>
        </w:rPr>
        <w:t>CAS-G-002: Calibration of monitoring and measurement equipment at Sewage Treatment Works.</w:t>
      </w:r>
      <w:r w:rsidRPr="00C9276E">
        <w:rPr>
          <w:b/>
        </w:rPr>
        <w:t xml:space="preserve"> </w:t>
      </w:r>
    </w:p>
    <w:p w14:paraId="77DA4857" w14:textId="77777777" w:rsidR="00A368C6" w:rsidRPr="00AA6DFA" w:rsidRDefault="00A368C6" w:rsidP="00A368C6">
      <w:pPr>
        <w:pStyle w:val="Heading2"/>
      </w:pPr>
      <w:bookmarkStart w:id="41" w:name="_Toc157763843"/>
      <w:bookmarkStart w:id="42" w:name="_Toc184195285"/>
      <w:bookmarkStart w:id="43" w:name="_Toc193873845"/>
      <w:r w:rsidRPr="00AA6DFA">
        <w:t>2.</w:t>
      </w:r>
      <w:r>
        <w:t>7</w:t>
      </w:r>
      <w:r w:rsidRPr="00AA6DFA">
        <w:tab/>
        <w:t>Reporting</w:t>
      </w:r>
      <w:bookmarkEnd w:id="41"/>
      <w:bookmarkEnd w:id="42"/>
      <w:bookmarkEnd w:id="43"/>
    </w:p>
    <w:p w14:paraId="0C163449" w14:textId="16C6A2EB" w:rsidR="00A368C6" w:rsidRDefault="00A368C6" w:rsidP="00A368C6">
      <w:pPr>
        <w:pStyle w:val="BodyText1"/>
      </w:pPr>
      <w:r w:rsidRPr="00AA6DFA">
        <w:t xml:space="preserve">Flow reporting conditions are normally only required in the </w:t>
      </w:r>
      <w:r w:rsidR="000033B0">
        <w:t>permit</w:t>
      </w:r>
      <w:r w:rsidRPr="00AA6DFA">
        <w:t xml:space="preserve"> for STWs serving ≥15</w:t>
      </w:r>
      <w:r>
        <w:t>,</w:t>
      </w:r>
      <w:r w:rsidRPr="00AA6DFA">
        <w:t>000pe (15</w:t>
      </w:r>
      <w:r>
        <w:t>,000</w:t>
      </w:r>
      <w:r w:rsidRPr="00AA6DFA">
        <w:t>pe being the threshold for SPRI reporting). In addition, certain STWs serving &lt;15,000pe may be required to report flow data based on environmental need such as low dilution or downstream designated sites.</w:t>
      </w:r>
    </w:p>
    <w:p w14:paraId="4AE07F9A" w14:textId="77777777" w:rsidR="00A368C6" w:rsidRPr="00AA6DFA" w:rsidRDefault="00A368C6" w:rsidP="00A368C6">
      <w:pPr>
        <w:pStyle w:val="BodyText1"/>
      </w:pPr>
      <w:r w:rsidRPr="00AA6DFA">
        <w:t xml:space="preserve">Rather than </w:t>
      </w:r>
      <w:r>
        <w:t>t</w:t>
      </w:r>
      <w:r w:rsidRPr="00AA6DFA">
        <w:t xml:space="preserve">he operator supplying flow records on an individual basis to local SEPA teams, </w:t>
      </w:r>
      <w:r w:rsidRPr="00BD0443">
        <w:t>flow reports are submitted centrally to SEPA and made available to operational teams</w:t>
      </w:r>
      <w:r>
        <w:t>.</w:t>
      </w:r>
    </w:p>
    <w:p w14:paraId="218C21CC" w14:textId="00C90903" w:rsidR="00A368C6" w:rsidRDefault="00A368C6" w:rsidP="00A368C6">
      <w:pPr>
        <w:pStyle w:val="BodyText1"/>
      </w:pPr>
      <w:r w:rsidRPr="00AA6DFA">
        <w:t xml:space="preserve">The details of flow reporting requirements vary according to the </w:t>
      </w:r>
      <w:r w:rsidR="000033B0">
        <w:t>permit</w:t>
      </w:r>
      <w:r w:rsidRPr="00AA6DFA">
        <w:t>, but may include summary statistics such as DWF, mean daily flow, the start/stop date and time of each overflow event along with total annual volume discharged during these storm events.</w:t>
      </w:r>
    </w:p>
    <w:p w14:paraId="509904DF" w14:textId="6929CAD8" w:rsidR="00A368C6" w:rsidRPr="001F7C85" w:rsidRDefault="00A368C6" w:rsidP="001F7C85">
      <w:pPr>
        <w:pStyle w:val="BodyText1"/>
      </w:pPr>
      <w:r w:rsidRPr="00AA6DFA">
        <w:lastRenderedPageBreak/>
        <w:t>More detailed flow information such as the continuous FFT flow record is kept by the discharger. Portions of the continuous FFT flow record should be made available to SEPA on request e.g. during the annual inspection.</w:t>
      </w:r>
    </w:p>
    <w:p w14:paraId="195CB58E" w14:textId="77777777" w:rsidR="00A368C6" w:rsidRPr="00B9165F" w:rsidRDefault="00A368C6" w:rsidP="00A368C6">
      <w:pPr>
        <w:pStyle w:val="Heading1"/>
      </w:pPr>
      <w:bookmarkStart w:id="44" w:name="_Toc184195286"/>
      <w:bookmarkStart w:id="45" w:name="_Toc193873846"/>
      <w:r>
        <w:t>3.</w:t>
      </w:r>
      <w:r>
        <w:tab/>
      </w:r>
      <w:r w:rsidRPr="00B9165F">
        <w:t xml:space="preserve">Population </w:t>
      </w:r>
      <w:r>
        <w:t>e</w:t>
      </w:r>
      <w:r w:rsidRPr="00B9165F">
        <w:t xml:space="preserve">quivalent, </w:t>
      </w:r>
      <w:r>
        <w:t>d</w:t>
      </w:r>
      <w:r w:rsidRPr="00B9165F">
        <w:t xml:space="preserve">ry </w:t>
      </w:r>
      <w:r>
        <w:t>w</w:t>
      </w:r>
      <w:r w:rsidRPr="00B9165F">
        <w:t xml:space="preserve">eather </w:t>
      </w:r>
      <w:r>
        <w:t>f</w:t>
      </w:r>
      <w:r w:rsidRPr="00B9165F">
        <w:t xml:space="preserve">low and </w:t>
      </w:r>
      <w:r>
        <w:t>d</w:t>
      </w:r>
      <w:r w:rsidRPr="00B9165F">
        <w:t xml:space="preserve">esign </w:t>
      </w:r>
      <w:r>
        <w:t>f</w:t>
      </w:r>
      <w:r w:rsidRPr="00B9165F">
        <w:t>lows</w:t>
      </w:r>
      <w:bookmarkEnd w:id="44"/>
      <w:bookmarkEnd w:id="45"/>
    </w:p>
    <w:p w14:paraId="14ADDA8F" w14:textId="77777777" w:rsidR="00A368C6" w:rsidRPr="00B9165F" w:rsidRDefault="00A368C6" w:rsidP="00A368C6">
      <w:pPr>
        <w:pStyle w:val="Heading2"/>
      </w:pPr>
      <w:bookmarkStart w:id="46" w:name="_Toc364167805"/>
      <w:bookmarkStart w:id="47" w:name="_Toc157763845"/>
      <w:bookmarkStart w:id="48" w:name="_Toc184195287"/>
      <w:bookmarkStart w:id="49" w:name="_Toc193873847"/>
      <w:r w:rsidRPr="00B9165F">
        <w:t>3.1</w:t>
      </w:r>
      <w:r w:rsidRPr="00B9165F">
        <w:tab/>
        <w:t xml:space="preserve">Population </w:t>
      </w:r>
      <w:r>
        <w:t>e</w:t>
      </w:r>
      <w:r w:rsidRPr="00B9165F">
        <w:t>quivalent</w:t>
      </w:r>
      <w:bookmarkEnd w:id="46"/>
      <w:bookmarkEnd w:id="47"/>
      <w:bookmarkEnd w:id="48"/>
      <w:bookmarkEnd w:id="49"/>
    </w:p>
    <w:p w14:paraId="6CA66ED9" w14:textId="77777777" w:rsidR="00A368C6" w:rsidRPr="00C97571" w:rsidRDefault="00A368C6" w:rsidP="00A368C6">
      <w:pPr>
        <w:pStyle w:val="BodyText1"/>
      </w:pPr>
      <w:r w:rsidRPr="00C97571">
        <w:t xml:space="preserve">The population equivalent that a STW serves is important to determine because it helps determine the level of treatment and monitoring at a STW, the size/capacity of the STW using the DWF and the charging. </w:t>
      </w:r>
    </w:p>
    <w:p w14:paraId="47F75EF0" w14:textId="77777777" w:rsidR="00A368C6" w:rsidRPr="00B9165F" w:rsidRDefault="00A368C6" w:rsidP="00A368C6">
      <w:pPr>
        <w:pStyle w:val="BodyText1"/>
      </w:pPr>
      <w:r w:rsidRPr="00B9165F">
        <w:t>For small wastewater treatment works, serving 10 or more houses, the population equivalent can be determined using the census figures where additional information is available to support this assessment, such as flow surveys of the existing system.</w:t>
      </w:r>
    </w:p>
    <w:p w14:paraId="7801EA6F" w14:textId="77777777" w:rsidR="00A368C6" w:rsidRPr="00B9165F" w:rsidRDefault="00A368C6" w:rsidP="00A368C6">
      <w:pPr>
        <w:pStyle w:val="BodyText1"/>
      </w:pPr>
      <w:r w:rsidRPr="00B9165F">
        <w:t xml:space="preserve">For larger developments (normally Scottish Water), it is statistically highly unlikely that there would be full occupancy of every property at any one time and determining the </w:t>
      </w:r>
      <w:proofErr w:type="spellStart"/>
      <w:r w:rsidRPr="00B9165F">
        <w:t>p.e.</w:t>
      </w:r>
      <w:proofErr w:type="spellEnd"/>
      <w:r w:rsidRPr="00B9165F">
        <w:t xml:space="preserve"> using the Flows and Loads document would result in an over designed STW. Therefore, for these larger developments, the operator can use an appropriate census figure for occupancy (Scottish Water currently uses a figure of approximately 2.1 persons per house, depending on the locality).</w:t>
      </w:r>
    </w:p>
    <w:p w14:paraId="7C8BAEF0" w14:textId="77777777" w:rsidR="00A368C6" w:rsidRPr="00B9165F" w:rsidRDefault="00A368C6" w:rsidP="00A368C6">
      <w:pPr>
        <w:pStyle w:val="Heading2"/>
      </w:pPr>
      <w:bookmarkStart w:id="50" w:name="_Toc364167806"/>
      <w:bookmarkStart w:id="51" w:name="_Ref364169670"/>
      <w:bookmarkStart w:id="52" w:name="_Toc157763846"/>
      <w:bookmarkStart w:id="53" w:name="_Toc184195288"/>
      <w:bookmarkStart w:id="54" w:name="_Toc193873848"/>
      <w:r w:rsidRPr="00B9165F">
        <w:t>3.2</w:t>
      </w:r>
      <w:r w:rsidRPr="00B9165F">
        <w:tab/>
        <w:t xml:space="preserve">Dry </w:t>
      </w:r>
      <w:r>
        <w:t>w</w:t>
      </w:r>
      <w:r w:rsidRPr="00B9165F">
        <w:t xml:space="preserve">eather </w:t>
      </w:r>
      <w:r>
        <w:t>f</w:t>
      </w:r>
      <w:r w:rsidRPr="00B9165F">
        <w:t>low</w:t>
      </w:r>
      <w:bookmarkEnd w:id="50"/>
      <w:bookmarkEnd w:id="51"/>
      <w:r w:rsidRPr="00B9165F">
        <w:t xml:space="preserve"> (DWF)</w:t>
      </w:r>
      <w:bookmarkEnd w:id="52"/>
      <w:bookmarkEnd w:id="53"/>
      <w:bookmarkEnd w:id="54"/>
    </w:p>
    <w:p w14:paraId="15C32EE4" w14:textId="77777777" w:rsidR="00A368C6" w:rsidRPr="00B9165F" w:rsidRDefault="00A368C6" w:rsidP="00A368C6">
      <w:pPr>
        <w:pStyle w:val="Heading3"/>
      </w:pPr>
      <w:bookmarkStart w:id="55" w:name="_Toc364167807"/>
      <w:bookmarkStart w:id="56" w:name="_Ref364170464"/>
      <w:bookmarkStart w:id="57" w:name="_Toc184195289"/>
      <w:bookmarkStart w:id="58" w:name="_Toc193873849"/>
      <w:bookmarkStart w:id="59" w:name="_Hlk121320853"/>
      <w:r w:rsidRPr="00B9165F">
        <w:t>3.2.1 DWF</w:t>
      </w:r>
      <w:bookmarkEnd w:id="55"/>
      <w:bookmarkEnd w:id="56"/>
      <w:bookmarkEnd w:id="57"/>
      <w:bookmarkEnd w:id="58"/>
    </w:p>
    <w:bookmarkEnd w:id="59"/>
    <w:p w14:paraId="7BEAA47C" w14:textId="23FEC05C" w:rsidR="00A368C6" w:rsidRPr="00B9165F" w:rsidRDefault="00A368C6" w:rsidP="00A368C6">
      <w:pPr>
        <w:pStyle w:val="BodyText1"/>
      </w:pPr>
      <w:r w:rsidRPr="00B9165F">
        <w:t xml:space="preserve">DWF is the flow to a STW during a period without rain. For a STW serving a combined sewer system, there is a </w:t>
      </w:r>
      <w:r w:rsidR="000033B0">
        <w:t>permit</w:t>
      </w:r>
      <w:r w:rsidRPr="00B9165F">
        <w:t xml:space="preserve"> condition limiting the DWF. DWF will need to be calculated.</w:t>
      </w:r>
    </w:p>
    <w:p w14:paraId="73B52A12" w14:textId="77777777" w:rsidR="00A368C6" w:rsidRPr="00B9165F" w:rsidRDefault="00A368C6" w:rsidP="00A368C6">
      <w:pPr>
        <w:pStyle w:val="BodyText1"/>
      </w:pPr>
      <w:r w:rsidRPr="00B9165F">
        <w:t>DWF (Dry Weather Flow) = P G + I</w:t>
      </w:r>
      <w:r w:rsidRPr="00B9165F">
        <w:rPr>
          <w:vertAlign w:val="subscript"/>
        </w:rPr>
        <w:t>DWF</w:t>
      </w:r>
      <w:r w:rsidRPr="00B9165F">
        <w:t xml:space="preserve"> + E, where</w:t>
      </w:r>
    </w:p>
    <w:p w14:paraId="081BECA7" w14:textId="77777777" w:rsidR="00A368C6" w:rsidRPr="00B9165F" w:rsidRDefault="00A368C6" w:rsidP="00A368C6">
      <w:pPr>
        <w:pStyle w:val="BodyText1"/>
      </w:pPr>
      <w:r w:rsidRPr="00B9165F">
        <w:t>P = Population served</w:t>
      </w:r>
      <w:r w:rsidRPr="00B9165F">
        <w:br/>
        <w:t>G = Water consumption / head / day (typically 150 litres)</w:t>
      </w:r>
      <w:r w:rsidRPr="00B9165F">
        <w:br/>
        <w:t>E = Trade Effluent Flow (litres)</w:t>
      </w:r>
      <w:r w:rsidRPr="00B9165F">
        <w:br/>
        <w:t>I = Infiltration</w:t>
      </w:r>
    </w:p>
    <w:p w14:paraId="32527CBD" w14:textId="77777777" w:rsidR="00A368C6" w:rsidRPr="00B9165F" w:rsidRDefault="00A368C6" w:rsidP="00A368C6">
      <w:pPr>
        <w:pStyle w:val="BodyText1"/>
      </w:pPr>
      <w:r w:rsidRPr="00B9165F">
        <w:lastRenderedPageBreak/>
        <w:t>The above formula can be used to calculate DWF for new or varied discharges.  The values P, G and E should be based on the STW future design horizon, taking account of growth in the catchment. Infiltration, I</w:t>
      </w:r>
      <w:r w:rsidRPr="00B9165F">
        <w:rPr>
          <w:vertAlign w:val="subscript"/>
        </w:rPr>
        <w:t>DWF</w:t>
      </w:r>
      <w:r w:rsidRPr="00B9165F">
        <w:t xml:space="preserve"> should be based on measured dry weather figures in the catchment or in nearby catchments with similar characteristics if possible.</w:t>
      </w:r>
    </w:p>
    <w:p w14:paraId="21882FBC" w14:textId="77777777" w:rsidR="00A368C6" w:rsidRPr="00B9165F" w:rsidRDefault="00A368C6" w:rsidP="00A368C6">
      <w:pPr>
        <w:pStyle w:val="Heading4"/>
      </w:pPr>
      <w:r w:rsidRPr="00B9165F">
        <w:t>Calculating future DWF for existing discharges to take account of growth</w:t>
      </w:r>
      <w:r>
        <w:rPr>
          <w:rStyle w:val="FootnoteReference"/>
        </w:rPr>
        <w:footnoteReference w:id="2"/>
      </w:r>
    </w:p>
    <w:p w14:paraId="009C074F" w14:textId="77777777" w:rsidR="00A368C6" w:rsidRPr="00B9165F" w:rsidRDefault="00A368C6" w:rsidP="00A368C6">
      <w:pPr>
        <w:pStyle w:val="BodyText1"/>
      </w:pPr>
      <w:r>
        <w:t>T</w:t>
      </w:r>
      <w:r w:rsidRPr="007354BC">
        <w:t>h</w:t>
      </w:r>
      <w:r>
        <w:t>e</w:t>
      </w:r>
      <w:r w:rsidRPr="007354BC">
        <w:t xml:space="preserve"> value </w:t>
      </w:r>
      <w:r>
        <w:t xml:space="preserve">that is </w:t>
      </w:r>
      <w:r w:rsidRPr="007354BC">
        <w:t xml:space="preserve">exceeded by 80% of the recorded daily </w:t>
      </w:r>
      <w:r>
        <w:t xml:space="preserve">flow </w:t>
      </w:r>
      <w:r w:rsidRPr="007354BC">
        <w:t>values</w:t>
      </w:r>
      <w:r>
        <w:t xml:space="preserve"> is known</w:t>
      </w:r>
      <w:r w:rsidRPr="007354BC">
        <w:t xml:space="preserve"> as the Q80.</w:t>
      </w:r>
      <w:r w:rsidRPr="00B9165F">
        <w:t xml:space="preserve"> Q80 provides a good estimate of </w:t>
      </w:r>
      <w:proofErr w:type="gramStart"/>
      <w:r w:rsidRPr="00B9165F">
        <w:t>DWF</w:t>
      </w:r>
      <w:proofErr w:type="gramEnd"/>
      <w:r w:rsidRPr="00B9165F">
        <w:t xml:space="preserve"> and this correlation is used in the calculations below </w:t>
      </w:r>
      <w:r w:rsidRPr="00C97571">
        <w:t>(see section 3.2.</w:t>
      </w:r>
      <w:r>
        <w:t>4</w:t>
      </w:r>
      <w:r w:rsidRPr="00C97571">
        <w:t>).</w:t>
      </w:r>
    </w:p>
    <w:p w14:paraId="7CD1042A" w14:textId="77777777" w:rsidR="00A368C6" w:rsidRPr="00B9165F" w:rsidRDefault="00A368C6" w:rsidP="00A368C6">
      <w:pPr>
        <w:pStyle w:val="BodyText1"/>
      </w:pPr>
      <w:r w:rsidRPr="00B9165F">
        <w:t>There are 2 options to calculate future DWF.</w:t>
      </w:r>
    </w:p>
    <w:p w14:paraId="7999AE60" w14:textId="77777777" w:rsidR="00A368C6" w:rsidRPr="00B9165F" w:rsidRDefault="00A368C6" w:rsidP="00A368C6">
      <w:pPr>
        <w:pStyle w:val="BodyText1"/>
        <w:numPr>
          <w:ilvl w:val="0"/>
          <w:numId w:val="19"/>
        </w:numPr>
      </w:pPr>
      <w:r w:rsidRPr="00B9165F">
        <w:t>Use the DWF formula above using current values of P, G and E.</w:t>
      </w:r>
    </w:p>
    <w:p w14:paraId="17C38CA4" w14:textId="77777777" w:rsidR="00A368C6" w:rsidRPr="00B9165F" w:rsidRDefault="00A368C6" w:rsidP="00A368C6">
      <w:pPr>
        <w:pStyle w:val="BodyText1"/>
        <w:ind w:left="426"/>
      </w:pPr>
      <w:r w:rsidRPr="00B9165F">
        <w:t>Where I</w:t>
      </w:r>
      <w:r w:rsidRPr="00B9165F">
        <w:rPr>
          <w:vertAlign w:val="subscript"/>
        </w:rPr>
        <w:t>DWF</w:t>
      </w:r>
      <w:r w:rsidRPr="00B9165F">
        <w:t> = measured Q80 – current PG – current E</w:t>
      </w:r>
      <w:r>
        <w:t>.</w:t>
      </w:r>
    </w:p>
    <w:p w14:paraId="43F73B7B" w14:textId="77777777" w:rsidR="00A368C6" w:rsidRPr="00B9165F" w:rsidRDefault="00A368C6" w:rsidP="00A368C6">
      <w:pPr>
        <w:pStyle w:val="BodyText1"/>
        <w:ind w:left="426"/>
      </w:pPr>
      <w:r w:rsidRPr="00B9165F">
        <w:t xml:space="preserve">Then, based on the STW future design horizon and taking account of growth in the catchment, increase the values of P, G and E. </w:t>
      </w:r>
    </w:p>
    <w:p w14:paraId="7EB1B798" w14:textId="77777777" w:rsidR="00A368C6" w:rsidRPr="00B9165F" w:rsidRDefault="00A368C6" w:rsidP="00A368C6">
      <w:pPr>
        <w:pStyle w:val="BodyText1"/>
        <w:ind w:left="426"/>
      </w:pPr>
      <w:r w:rsidRPr="00B9165F">
        <w:t xml:space="preserve">Infiltration from the new population needs to be taken account of. An infiltration allowance for the increase in population of 50% of the per capita rate of infiltration in the existing sewerage system can be used. However, other factors can be </w:t>
      </w:r>
      <w:proofErr w:type="gramStart"/>
      <w:r w:rsidRPr="00B9165F">
        <w:t>taken into account</w:t>
      </w:r>
      <w:proofErr w:type="gramEnd"/>
      <w:r w:rsidRPr="00B9165F">
        <w:t xml:space="preserve"> such as the nature of the sewer and the type of development. For example, population increases via infill or high-rise developments may not increase sewer lengths and infiltration significantly.</w:t>
      </w:r>
    </w:p>
    <w:p w14:paraId="02DD413A" w14:textId="77777777" w:rsidR="00A368C6" w:rsidRPr="00B9165F" w:rsidRDefault="00A368C6" w:rsidP="00A368C6">
      <w:pPr>
        <w:pStyle w:val="BodyText1"/>
        <w:numPr>
          <w:ilvl w:val="0"/>
          <w:numId w:val="19"/>
        </w:numPr>
      </w:pPr>
      <w:r w:rsidRPr="00B9165F">
        <w:t xml:space="preserve">Use the Q80 method </w:t>
      </w:r>
      <w:bookmarkStart w:id="60" w:name="_Hlk127268930"/>
      <w:r w:rsidRPr="00A339A3">
        <w:t>(see section 3.2.</w:t>
      </w:r>
      <w:r w:rsidRPr="00C97571">
        <w:t>4</w:t>
      </w:r>
      <w:r w:rsidRPr="00A339A3">
        <w:t>)</w:t>
      </w:r>
    </w:p>
    <w:bookmarkEnd w:id="60"/>
    <w:p w14:paraId="7D1BFD0C" w14:textId="77777777" w:rsidR="00A368C6" w:rsidRPr="00B9165F" w:rsidRDefault="00A368C6" w:rsidP="00A368C6">
      <w:pPr>
        <w:pStyle w:val="BodyText1"/>
        <w:ind w:left="360"/>
      </w:pPr>
      <w:r w:rsidRPr="00B9165F">
        <w:t xml:space="preserve">A simpler method is to use the measured data to determine the Q80 value and then extrapolate it to the future Q80 value. For example, a projected population increase of 15% will lead to a 15% increase in the mean flow, the standard deviation and the Q80 you need to apply and design for. This is a conservative but simple method of estimating DWF. </w:t>
      </w:r>
    </w:p>
    <w:p w14:paraId="35C7B14B" w14:textId="77777777" w:rsidR="00A368C6" w:rsidRPr="00B9165F" w:rsidRDefault="00A368C6" w:rsidP="00A368C6">
      <w:pPr>
        <w:pStyle w:val="BodyText1"/>
        <w:ind w:left="360"/>
      </w:pPr>
      <w:r w:rsidRPr="00B9165F">
        <w:lastRenderedPageBreak/>
        <w:t>Where there is no long-term flow monitoring data e.g. where PE &lt;2000, other approaches may be taken. For example</w:t>
      </w:r>
      <w:r>
        <w:t>,</w:t>
      </w:r>
      <w:r w:rsidRPr="00B9165F">
        <w:t xml:space="preserve"> short term flow survey data, modelled information or for growth, default approaches. This would depend on the location, information available and whether there are changes </w:t>
      </w:r>
      <w:proofErr w:type="gramStart"/>
      <w:r w:rsidRPr="00B9165F">
        <w:t>as a result of</w:t>
      </w:r>
      <w:proofErr w:type="gramEnd"/>
      <w:r w:rsidRPr="00B9165F">
        <w:t xml:space="preserve"> growth.  </w:t>
      </w:r>
    </w:p>
    <w:p w14:paraId="48E9656F" w14:textId="5A6377BC" w:rsidR="00A368C6" w:rsidRPr="00837F5E" w:rsidRDefault="00A368C6" w:rsidP="00A368C6">
      <w:pPr>
        <w:pStyle w:val="BodyText1"/>
      </w:pPr>
      <w:r w:rsidRPr="00B9165F">
        <w:t xml:space="preserve">Further background information on infiltration and DWF can be found on the </w:t>
      </w:r>
      <w:hyperlink r:id="rId15" w:history="1">
        <w:r w:rsidRPr="00C97571">
          <w:rPr>
            <w:rStyle w:val="Hyperlink"/>
          </w:rPr>
          <w:t>CIWEM website</w:t>
        </w:r>
      </w:hyperlink>
      <w:r w:rsidRPr="00837F5E">
        <w:t xml:space="preserve">. </w:t>
      </w:r>
      <w:proofErr w:type="spellStart"/>
      <w:r w:rsidRPr="00837F5E">
        <w:t>eg</w:t>
      </w:r>
      <w:proofErr w:type="spellEnd"/>
      <w:r w:rsidRPr="00837F5E">
        <w:t xml:space="preserve"> </w:t>
      </w:r>
      <w:r w:rsidRPr="0017751F">
        <w:t>User Note 33 - Modelling dry weather flow</w:t>
      </w:r>
      <w:r w:rsidRPr="00837F5E">
        <w:t>.</w:t>
      </w:r>
    </w:p>
    <w:p w14:paraId="3CE52F56" w14:textId="77777777" w:rsidR="00A368C6" w:rsidRPr="00B9165F" w:rsidRDefault="00A368C6" w:rsidP="00A368C6">
      <w:pPr>
        <w:pStyle w:val="Heading3"/>
      </w:pPr>
      <w:bookmarkStart w:id="61" w:name="_Toc364167808"/>
      <w:bookmarkStart w:id="62" w:name="_Ref364170494"/>
      <w:bookmarkStart w:id="63" w:name="_Toc184195290"/>
      <w:bookmarkStart w:id="64" w:name="_Toc193873850"/>
      <w:r w:rsidRPr="00B9165F">
        <w:t>3.2.2</w:t>
      </w:r>
      <w:r w:rsidRPr="00B9165F">
        <w:tab/>
        <w:t>Background</w:t>
      </w:r>
      <w:bookmarkEnd w:id="61"/>
      <w:bookmarkEnd w:id="62"/>
      <w:bookmarkEnd w:id="63"/>
      <w:bookmarkEnd w:id="64"/>
    </w:p>
    <w:p w14:paraId="3F55D22E" w14:textId="79E10AE1" w:rsidR="00A368C6" w:rsidRPr="00B9165F" w:rsidRDefault="00A368C6" w:rsidP="00A368C6">
      <w:pPr>
        <w:pStyle w:val="BodyText1"/>
      </w:pPr>
      <w:r w:rsidRPr="00B9165F">
        <w:t xml:space="preserve">Some STW </w:t>
      </w:r>
      <w:r w:rsidR="000033B0">
        <w:t>permits</w:t>
      </w:r>
      <w:r w:rsidRPr="00B9165F">
        <w:t xml:space="preserve"> may still define DWF in the </w:t>
      </w:r>
      <w:r w:rsidR="000033B0">
        <w:t>permit</w:t>
      </w:r>
      <w:r w:rsidRPr="00B9165F">
        <w:t xml:space="preserve"> Interpretation of Terms as:</w:t>
      </w:r>
    </w:p>
    <w:p w14:paraId="5A6D03AE" w14:textId="77777777" w:rsidR="00A368C6" w:rsidRPr="00B9165F" w:rsidRDefault="00A368C6" w:rsidP="00A368C6">
      <w:pPr>
        <w:pStyle w:val="BodyText1"/>
      </w:pPr>
      <w:r w:rsidRPr="00B9165F">
        <w:t>‘</w:t>
      </w:r>
      <w:proofErr w:type="gramStart"/>
      <w:r w:rsidRPr="00B9165F">
        <w:t>the</w:t>
      </w:r>
      <w:proofErr w:type="gramEnd"/>
      <w:r w:rsidRPr="00B9165F">
        <w:t xml:space="preserve"> average daily flow to or from the STW during a week without rain (excluding a week which includes public or local holidays), following a week during which the rainfall did not exceed 0.25mm on any one day. For sewage with a large industrial component, dry weather flow should be based on the flows during five working days if production is limited to that period’.</w:t>
      </w:r>
    </w:p>
    <w:p w14:paraId="2333034E" w14:textId="77777777" w:rsidR="00A368C6" w:rsidRPr="00B9165F" w:rsidRDefault="00A368C6" w:rsidP="00A368C6">
      <w:pPr>
        <w:pStyle w:val="BodyText1"/>
      </w:pPr>
      <w:r w:rsidRPr="00B9165F">
        <w:t>There are various problems with this traditional definition such as the infrequency of qualifying periods of DWF, large variability and difficulties in obtaining local reliable rainfall data.</w:t>
      </w:r>
    </w:p>
    <w:p w14:paraId="771279AF" w14:textId="77777777" w:rsidR="00A368C6" w:rsidRPr="00B9165F" w:rsidRDefault="00A368C6" w:rsidP="00A368C6">
      <w:pPr>
        <w:pStyle w:val="BodyText1"/>
      </w:pPr>
      <w:r w:rsidRPr="00B9165F">
        <w:t>A 2006 research project sponsored by UK Water Industry Research recommended using the Q80 DWF definition given below, rather than the traditional rainfall related definition. The Q80 definition closely matched the rainfall related definition and does not suffer from the problems outlined above.</w:t>
      </w:r>
    </w:p>
    <w:p w14:paraId="1AD3312D" w14:textId="77777777" w:rsidR="00A368C6" w:rsidRPr="00B9165F" w:rsidRDefault="00A368C6" w:rsidP="00A368C6">
      <w:pPr>
        <w:pStyle w:val="BodyText1"/>
      </w:pPr>
      <w:r w:rsidRPr="00B9165F">
        <w:t>This approach also means that Scotland is consistent with that taken by the Environment Agency.</w:t>
      </w:r>
    </w:p>
    <w:p w14:paraId="331255E7" w14:textId="32F0EC22" w:rsidR="00A368C6" w:rsidRPr="00B9165F" w:rsidRDefault="00A368C6" w:rsidP="00A368C6">
      <w:pPr>
        <w:pStyle w:val="Heading3"/>
      </w:pPr>
      <w:bookmarkStart w:id="65" w:name="_Toc364167809"/>
      <w:bookmarkStart w:id="66" w:name="_Toc184195291"/>
      <w:bookmarkStart w:id="67" w:name="_Toc193873851"/>
      <w:r w:rsidRPr="00B9165F">
        <w:t xml:space="preserve">3.2.3 </w:t>
      </w:r>
      <w:r w:rsidRPr="00B9165F">
        <w:tab/>
      </w:r>
      <w:r w:rsidR="000033B0">
        <w:t>Permit</w:t>
      </w:r>
      <w:r w:rsidRPr="00B9165F">
        <w:t xml:space="preserve"> </w:t>
      </w:r>
      <w:r>
        <w:t>c</w:t>
      </w:r>
      <w:r w:rsidRPr="00B9165F">
        <w:t>ompliance with DWF</w:t>
      </w:r>
      <w:bookmarkEnd w:id="65"/>
      <w:bookmarkEnd w:id="66"/>
      <w:bookmarkEnd w:id="67"/>
    </w:p>
    <w:p w14:paraId="61764E7D" w14:textId="245ABCA3" w:rsidR="00A368C6" w:rsidRPr="00B9165F" w:rsidRDefault="00A368C6" w:rsidP="00A368C6">
      <w:pPr>
        <w:pStyle w:val="BodyText1"/>
      </w:pPr>
      <w:r w:rsidRPr="00B9165F">
        <w:t xml:space="preserve">If the </w:t>
      </w:r>
      <w:r w:rsidR="003166D3">
        <w:t>permitted</w:t>
      </w:r>
      <w:r w:rsidRPr="00B9165F">
        <w:t xml:space="preserve"> DWF is being exceeded then water quality impacts may occur, due to for example, more frequent operation of sewer overflows.</w:t>
      </w:r>
    </w:p>
    <w:p w14:paraId="12AE0DDE" w14:textId="77777777" w:rsidR="00A368C6" w:rsidRPr="00B9165F" w:rsidRDefault="00A368C6" w:rsidP="00A368C6">
      <w:pPr>
        <w:pStyle w:val="BodyText1"/>
      </w:pPr>
      <w:r w:rsidRPr="00B9165F">
        <w:t xml:space="preserve">It has been determined that the 80%ile exceeded flow (or Q80) closely matches the DWF figure derived from the design equation in </w:t>
      </w:r>
      <w:r w:rsidRPr="00C97571">
        <w:t xml:space="preserve">section </w:t>
      </w:r>
      <w:r w:rsidRPr="00C97571">
        <w:fldChar w:fldCharType="begin"/>
      </w:r>
      <w:r w:rsidRPr="00C97571">
        <w:instrText xml:space="preserve"> REF _Ref364170464 \r \h  \* MERGEFORMAT </w:instrText>
      </w:r>
      <w:r w:rsidRPr="00C97571">
        <w:fldChar w:fldCharType="separate"/>
      </w:r>
      <w:r w:rsidRPr="00C97571">
        <w:t>3.2.1</w:t>
      </w:r>
      <w:r w:rsidRPr="00C97571">
        <w:fldChar w:fldCharType="end"/>
      </w:r>
      <w:r w:rsidRPr="00B9165F">
        <w:t>. It is this 80%ile flow which should be used as a straightforward measure of DWF.</w:t>
      </w:r>
    </w:p>
    <w:p w14:paraId="3A56CC2D" w14:textId="07A330C0" w:rsidR="00A368C6" w:rsidRPr="00B9165F" w:rsidRDefault="00A368C6" w:rsidP="00A368C6">
      <w:pPr>
        <w:pStyle w:val="BodyText1"/>
      </w:pPr>
      <w:r w:rsidRPr="00B9165F">
        <w:lastRenderedPageBreak/>
        <w:t xml:space="preserve">SEPA is moving to a position where DWF is defined in the </w:t>
      </w:r>
      <w:r w:rsidR="000033B0">
        <w:t>permit</w:t>
      </w:r>
      <w:r w:rsidRPr="00B9165F">
        <w:t xml:space="preserve"> as:</w:t>
      </w:r>
    </w:p>
    <w:p w14:paraId="2EE39B9D" w14:textId="77777777" w:rsidR="00A368C6" w:rsidRPr="00B9165F" w:rsidRDefault="00A368C6" w:rsidP="00A368C6">
      <w:pPr>
        <w:pStyle w:val="BodyText1"/>
      </w:pPr>
      <w:r w:rsidRPr="00B9165F">
        <w:t>‘</w:t>
      </w:r>
      <w:proofErr w:type="gramStart"/>
      <w:r w:rsidRPr="00B9165F">
        <w:t>the</w:t>
      </w:r>
      <w:proofErr w:type="gramEnd"/>
      <w:r w:rsidRPr="00B9165F">
        <w:t xml:space="preserve"> total daily flow value that is exceeded by 80% of the total daily flow values in a period of twelve months</w:t>
      </w:r>
      <w:r>
        <w:t>”</w:t>
      </w:r>
      <w:r w:rsidRPr="00B9165F">
        <w:t>.</w:t>
      </w:r>
    </w:p>
    <w:p w14:paraId="6CD59187" w14:textId="6A318D4D" w:rsidR="00A368C6" w:rsidRPr="00B9165F" w:rsidRDefault="00A368C6" w:rsidP="00A368C6">
      <w:pPr>
        <w:pStyle w:val="BodyText1"/>
      </w:pPr>
      <w:r w:rsidRPr="00B9165F">
        <w:t xml:space="preserve">For those STWs required to provide flow data returns (generally &gt;15kpe STWs), this definition was changed by a </w:t>
      </w:r>
      <w:r w:rsidR="000033B0">
        <w:t>permit</w:t>
      </w:r>
      <w:r w:rsidRPr="00B9165F">
        <w:t xml:space="preserve"> variation undertaken centrally and came into force in December 2012.</w:t>
      </w:r>
    </w:p>
    <w:p w14:paraId="583CCA6C" w14:textId="77777777" w:rsidR="00A368C6" w:rsidRPr="00B9165F" w:rsidRDefault="00A368C6" w:rsidP="00A368C6">
      <w:pPr>
        <w:pStyle w:val="BodyText1"/>
      </w:pPr>
      <w:r w:rsidRPr="00B9165F">
        <w:t xml:space="preserve">For those STWs where no flow reporting is required, </w:t>
      </w:r>
      <w:r w:rsidRPr="001F0A8B">
        <w:t>SEPA is intending</w:t>
      </w:r>
      <w:r w:rsidRPr="00B9165F">
        <w:t xml:space="preserve"> to vary centrally the DWF definition to the 80%ile flow definition. In the meantime, SEPA will accept DWF figures provided using the 80%ile definition.</w:t>
      </w:r>
    </w:p>
    <w:p w14:paraId="2F2E7E1B" w14:textId="77777777" w:rsidR="00A368C6" w:rsidRPr="00B9165F" w:rsidRDefault="00A368C6" w:rsidP="00A368C6">
      <w:pPr>
        <w:pStyle w:val="Heading3"/>
      </w:pPr>
      <w:bookmarkStart w:id="68" w:name="_Toc364167810"/>
      <w:bookmarkStart w:id="69" w:name="_Toc184195292"/>
      <w:bookmarkStart w:id="70" w:name="_Toc193873852"/>
      <w:r w:rsidRPr="00B9165F">
        <w:t>3.2.4</w:t>
      </w:r>
      <w:r w:rsidRPr="00B9165F">
        <w:tab/>
        <w:t xml:space="preserve">DWF </w:t>
      </w:r>
      <w:r>
        <w:t>c</w:t>
      </w:r>
      <w:r w:rsidRPr="00B9165F">
        <w:t xml:space="preserve">ompliance and </w:t>
      </w:r>
      <w:r>
        <w:t>r</w:t>
      </w:r>
      <w:r w:rsidRPr="00B9165F">
        <w:t>eporting</w:t>
      </w:r>
      <w:bookmarkEnd w:id="68"/>
      <w:bookmarkEnd w:id="69"/>
      <w:bookmarkEnd w:id="70"/>
      <w:r>
        <w:t xml:space="preserve"> </w:t>
      </w:r>
    </w:p>
    <w:p w14:paraId="25A8A8BA" w14:textId="77777777" w:rsidR="00A368C6" w:rsidRPr="00B9165F" w:rsidRDefault="00A368C6" w:rsidP="00A368C6">
      <w:pPr>
        <w:pStyle w:val="BodyText1"/>
      </w:pPr>
      <w:r w:rsidRPr="00B9165F">
        <w:t>Compliance is assessed by comparing the 80%ile exceeded flow limit against the measured 90% exceeded flow.</w:t>
      </w:r>
    </w:p>
    <w:p w14:paraId="525DB605" w14:textId="77777777" w:rsidR="00A368C6" w:rsidRPr="00B9165F" w:rsidRDefault="00A368C6" w:rsidP="00A368C6">
      <w:pPr>
        <w:pStyle w:val="BodyText1"/>
      </w:pPr>
      <w:r w:rsidRPr="00B9165F">
        <w:t>This is done by calculating the total daily flow value that is exceeded by 90% of the measured total daily flows in any period of 12 months and matching this value against the permitted daily DWF limit.</w:t>
      </w:r>
    </w:p>
    <w:p w14:paraId="701CBE79" w14:textId="77777777" w:rsidR="00A368C6" w:rsidRPr="00B9165F" w:rsidRDefault="00A368C6" w:rsidP="00A368C6">
      <w:pPr>
        <w:pStyle w:val="BodyText1"/>
      </w:pPr>
      <w:r w:rsidRPr="00B9165F">
        <w:t xml:space="preserve">The measured Q90 will always be less than the measured Q80. By assessing using the measured Q90 rather than the Q80, an allowance is made for year-on-year variability in the flow rates </w:t>
      </w:r>
      <w:proofErr w:type="gramStart"/>
      <w:r w:rsidRPr="00B9165F">
        <w:t>and also</w:t>
      </w:r>
      <w:proofErr w:type="gramEnd"/>
      <w:r w:rsidRPr="00B9165F">
        <w:t xml:space="preserve"> for uncertainty in the measurement of the daily flows. An assessment is made against the (lower) measured Q90 so that the discharger is not held responsible for factors out with their control such as higher flows in particularly wet years.</w:t>
      </w:r>
    </w:p>
    <w:p w14:paraId="19C40DF0" w14:textId="33F63AB9" w:rsidR="00A368C6" w:rsidRPr="00B9165F" w:rsidRDefault="00A368C6" w:rsidP="00A368C6">
      <w:pPr>
        <w:pStyle w:val="BodyText1"/>
      </w:pPr>
      <w:r w:rsidRPr="00B9165F">
        <w:t xml:space="preserve">The UK Water Industry Research project referred to in section </w:t>
      </w:r>
      <w:r w:rsidRPr="00C97571">
        <w:fldChar w:fldCharType="begin"/>
      </w:r>
      <w:r w:rsidRPr="00C97571">
        <w:instrText xml:space="preserve"> REF _Ref364170494 \r \h  \* MERGEFORMAT </w:instrText>
      </w:r>
      <w:r w:rsidRPr="00C97571">
        <w:fldChar w:fldCharType="separate"/>
      </w:r>
      <w:r w:rsidRPr="00C97571">
        <w:t>3.2.2</w:t>
      </w:r>
      <w:r w:rsidRPr="00C97571">
        <w:fldChar w:fldCharType="end"/>
      </w:r>
      <w:r w:rsidRPr="00B9165F">
        <w:t xml:space="preserve"> showed that if this measured Q90 is above the discharge </w:t>
      </w:r>
      <w:r w:rsidR="000033B0">
        <w:t>permit</w:t>
      </w:r>
      <w:r w:rsidRPr="00B9165F">
        <w:t xml:space="preserve"> limit, we can be 95% confident that the discharge has truly exceeded the </w:t>
      </w:r>
      <w:r w:rsidR="000033B0">
        <w:t>permit</w:t>
      </w:r>
      <w:r w:rsidRPr="00B9165F">
        <w:t xml:space="preserve"> DWF limit.</w:t>
      </w:r>
    </w:p>
    <w:p w14:paraId="11576BE9" w14:textId="53A17C7C" w:rsidR="00A368C6" w:rsidRPr="00116AB3" w:rsidRDefault="00A368C6" w:rsidP="00A368C6">
      <w:pPr>
        <w:pStyle w:val="BodyText1"/>
      </w:pPr>
      <w:r w:rsidRPr="00B9165F">
        <w:t xml:space="preserve">Refer to </w:t>
      </w:r>
      <w:r w:rsidRPr="00941FEE">
        <w:rPr>
          <w:highlight w:val="yellow"/>
        </w:rPr>
        <w:t>CAS-G-004: Flow Recording and Reporting at Sewage Treatment Works and on the Sewer Network</w:t>
      </w:r>
      <w:r w:rsidRPr="00B9165F">
        <w:t xml:space="preserve"> for more detailed guidance on assessing DWF compliance.</w:t>
      </w:r>
    </w:p>
    <w:p w14:paraId="61D37434" w14:textId="77777777" w:rsidR="00A368C6" w:rsidRPr="00B9165F" w:rsidRDefault="00A368C6" w:rsidP="00A368C6">
      <w:pPr>
        <w:pStyle w:val="Heading3"/>
      </w:pPr>
      <w:bookmarkStart w:id="71" w:name="_Toc184195293"/>
      <w:bookmarkStart w:id="72" w:name="_Toc193873853"/>
      <w:r w:rsidRPr="00B9165F">
        <w:lastRenderedPageBreak/>
        <w:t>3.2.5</w:t>
      </w:r>
      <w:r w:rsidRPr="00B9165F">
        <w:tab/>
        <w:t>Proposals to amend population equivalent (pe) at STWs</w:t>
      </w:r>
      <w:bookmarkEnd w:id="71"/>
      <w:bookmarkEnd w:id="72"/>
    </w:p>
    <w:p w14:paraId="081DCF54" w14:textId="5A3F2978" w:rsidR="00A368C6" w:rsidRPr="00B9165F" w:rsidRDefault="00A368C6" w:rsidP="00A368C6">
      <w:pPr>
        <w:pStyle w:val="BodyText1"/>
      </w:pPr>
      <w:r w:rsidRPr="00B9165F">
        <w:t xml:space="preserve">STW </w:t>
      </w:r>
      <w:r w:rsidR="000033B0">
        <w:t>permits</w:t>
      </w:r>
      <w:r w:rsidRPr="00B9165F">
        <w:t xml:space="preserve"> issued post December 2020 refer to pe in the Notice and in the Authorised Activities condition. For these </w:t>
      </w:r>
      <w:r w:rsidR="000033B0">
        <w:t>permits</w:t>
      </w:r>
      <w:r w:rsidRPr="00B9165F">
        <w:t xml:space="preserve">, pe is used to limit the scale of the discharge and therefore amendments to this pe need to be assessed as a </w:t>
      </w:r>
      <w:r w:rsidR="000033B0">
        <w:t>permit</w:t>
      </w:r>
      <w:r w:rsidRPr="00B9165F">
        <w:t xml:space="preserve"> variation.</w:t>
      </w:r>
    </w:p>
    <w:p w14:paraId="7AA77439" w14:textId="3969CE17" w:rsidR="00A368C6" w:rsidRPr="00B9165F" w:rsidRDefault="00A368C6" w:rsidP="00A368C6">
      <w:pPr>
        <w:pStyle w:val="BodyText1"/>
      </w:pPr>
      <w:proofErr w:type="gramStart"/>
      <w:r w:rsidRPr="00B9165F">
        <w:t>Pre 24 December 2020</w:t>
      </w:r>
      <w:proofErr w:type="gramEnd"/>
      <w:r w:rsidRPr="00B9165F">
        <w:t xml:space="preserve"> STW </w:t>
      </w:r>
      <w:r w:rsidR="000033B0">
        <w:t>permits</w:t>
      </w:r>
      <w:r w:rsidRPr="00B9165F">
        <w:t xml:space="preserve"> have the following reference to pe in the Explanatory Notes at the back of the </w:t>
      </w:r>
      <w:r w:rsidR="000033B0">
        <w:t>permit</w:t>
      </w:r>
      <w:r w:rsidRPr="00B9165F">
        <w:t xml:space="preserve">. This is not part of the </w:t>
      </w:r>
      <w:r w:rsidR="000033B0">
        <w:t>permit</w:t>
      </w:r>
      <w:r w:rsidRPr="00B9165F">
        <w:t>.</w:t>
      </w:r>
    </w:p>
    <w:p w14:paraId="05229D15" w14:textId="4DB863FA" w:rsidR="00A368C6" w:rsidRPr="005558BC" w:rsidRDefault="00A368C6" w:rsidP="00A368C6">
      <w:pPr>
        <w:pStyle w:val="BodyText1"/>
        <w:rPr>
          <w:iCs/>
        </w:rPr>
      </w:pPr>
      <w:r w:rsidRPr="005558BC">
        <w:rPr>
          <w:iCs/>
        </w:rPr>
        <w:t xml:space="preserve">'The discharge quality and flow conditions attached to this </w:t>
      </w:r>
      <w:r w:rsidR="000033B0">
        <w:rPr>
          <w:iCs/>
        </w:rPr>
        <w:t>permit</w:t>
      </w:r>
      <w:r w:rsidRPr="005558BC">
        <w:rPr>
          <w:iCs/>
        </w:rPr>
        <w:t xml:space="preserve"> are based on a design PE of &lt;&lt;INSERT design PE&gt;&gt; as stated in the </w:t>
      </w:r>
      <w:r w:rsidR="000033B0">
        <w:rPr>
          <w:iCs/>
        </w:rPr>
        <w:t>permit</w:t>
      </w:r>
      <w:r w:rsidRPr="005558BC">
        <w:rPr>
          <w:iCs/>
        </w:rPr>
        <w:t xml:space="preserve"> application'</w:t>
      </w:r>
    </w:p>
    <w:p w14:paraId="1BF0D12C" w14:textId="77777777" w:rsidR="00A368C6" w:rsidRPr="00B9165F" w:rsidRDefault="00A368C6" w:rsidP="00A368C6">
      <w:pPr>
        <w:pStyle w:val="BodyText1"/>
      </w:pPr>
      <w:r w:rsidRPr="00B9165F">
        <w:t xml:space="preserve">Pe is used to calculate </w:t>
      </w:r>
      <w:proofErr w:type="gramStart"/>
      <w:r w:rsidRPr="00B9165F">
        <w:t>charging</w:t>
      </w:r>
      <w:proofErr w:type="gramEnd"/>
      <w:r w:rsidRPr="00B9165F">
        <w:t xml:space="preserve"> and it is therefore important that this figure is correct.  If the operator believes that this pe number is to be exceeded (say due to population growth in catchment), then they should contact SEPA and supply the following information. </w:t>
      </w:r>
    </w:p>
    <w:p w14:paraId="009554B6" w14:textId="3B51ABA3" w:rsidR="00A368C6" w:rsidRPr="00B9165F" w:rsidRDefault="00A368C6" w:rsidP="00A368C6">
      <w:pPr>
        <w:pStyle w:val="BodyText1"/>
      </w:pPr>
      <w:r w:rsidRPr="00B9165F">
        <w:t xml:space="preserve">N.B. This is not an application to vary the </w:t>
      </w:r>
      <w:r w:rsidR="000033B0">
        <w:t>permit</w:t>
      </w:r>
      <w:r w:rsidRPr="00B9165F">
        <w:t xml:space="preserve"> since the Explanatory Notes do not form part of the </w:t>
      </w:r>
      <w:r w:rsidR="000033B0">
        <w:t>permit</w:t>
      </w:r>
      <w:r w:rsidRPr="00B9165F">
        <w:t>.</w:t>
      </w:r>
    </w:p>
    <w:p w14:paraId="7BDF87C8" w14:textId="05081299" w:rsidR="00A368C6" w:rsidRPr="00B9165F" w:rsidRDefault="00A368C6" w:rsidP="00A368C6">
      <w:pPr>
        <w:pStyle w:val="BodyText1"/>
      </w:pPr>
      <w:r w:rsidRPr="00B9165F">
        <w:t xml:space="preserve">The </w:t>
      </w:r>
      <w:r w:rsidR="00676C91">
        <w:t>Authorised</w:t>
      </w:r>
      <w:r w:rsidRPr="00B9165F">
        <w:t xml:space="preserve"> Person should provide the future/projected pe.</w:t>
      </w:r>
    </w:p>
    <w:p w14:paraId="4968F04E" w14:textId="711514B1" w:rsidR="00A368C6" w:rsidRPr="00B9165F" w:rsidRDefault="00A368C6" w:rsidP="00A368C6">
      <w:pPr>
        <w:pStyle w:val="BodyText1"/>
      </w:pPr>
      <w:r w:rsidRPr="002C32D5">
        <w:t xml:space="preserve">The operator should </w:t>
      </w:r>
      <w:r w:rsidRPr="00B9165F">
        <w:t xml:space="preserve">calculate if the future pe means that </w:t>
      </w:r>
      <w:r w:rsidR="000033B0">
        <w:t>permit</w:t>
      </w:r>
      <w:r w:rsidRPr="00B9165F">
        <w:t xml:space="preserve"> limits DWF, Flow to Full Treatment or storm tank size would be exceeded.  This calculation should use current best practice methods and figures (</w:t>
      </w:r>
      <w:proofErr w:type="spellStart"/>
      <w:r w:rsidRPr="00B9165F">
        <w:t>eg</w:t>
      </w:r>
      <w:proofErr w:type="spellEnd"/>
      <w:r w:rsidRPr="00B9165F">
        <w:t xml:space="preserve"> up-to-date l/head/day and infiltration calculations).</w:t>
      </w:r>
    </w:p>
    <w:p w14:paraId="59D7ADE3" w14:textId="170A7E27" w:rsidR="00A368C6" w:rsidRPr="00B9165F" w:rsidRDefault="00A368C6" w:rsidP="00A368C6">
      <w:pPr>
        <w:pStyle w:val="BodyText1"/>
      </w:pPr>
      <w:r w:rsidRPr="00B9165F">
        <w:t xml:space="preserve">If these </w:t>
      </w:r>
      <w:r w:rsidR="000033B0">
        <w:t>permit</w:t>
      </w:r>
      <w:r w:rsidRPr="00B9165F">
        <w:t xml:space="preserve"> limits are not exceeded</w:t>
      </w:r>
      <w:r>
        <w:t>,</w:t>
      </w:r>
      <w:r w:rsidRPr="00B9165F">
        <w:t xml:space="preserve"> then it can be assumed that the STW will not be overloaded by the future pe.  </w:t>
      </w:r>
    </w:p>
    <w:p w14:paraId="4236B73B" w14:textId="77777777" w:rsidR="00A368C6" w:rsidRPr="00B9165F" w:rsidRDefault="00A368C6" w:rsidP="00A368C6">
      <w:pPr>
        <w:pStyle w:val="BodyText1"/>
      </w:pPr>
      <w:r w:rsidRPr="00B9165F">
        <w:t>SEPA will check these calculations and reissue the Explanatory Notes as follows.</w:t>
      </w:r>
    </w:p>
    <w:p w14:paraId="48201D23" w14:textId="0D78AE12" w:rsidR="00A368C6" w:rsidRPr="00B9165F" w:rsidRDefault="00A368C6" w:rsidP="00A368C6">
      <w:pPr>
        <w:pStyle w:val="BodyText1"/>
      </w:pPr>
      <w:r w:rsidRPr="00B9165F">
        <w:t xml:space="preserve">The existing reference to pe in the </w:t>
      </w:r>
      <w:r w:rsidR="000033B0">
        <w:t>permit</w:t>
      </w:r>
      <w:r w:rsidRPr="00B9165F">
        <w:t xml:space="preserve"> will have wording </w:t>
      </w:r>
      <w:proofErr w:type="gramStart"/>
      <w:r w:rsidRPr="00B9165F">
        <w:t>similar to</w:t>
      </w:r>
      <w:proofErr w:type="gramEnd"/>
      <w:r w:rsidRPr="00B9165F">
        <w:t xml:space="preserve"> this -</w:t>
      </w:r>
    </w:p>
    <w:p w14:paraId="130AA53A" w14:textId="34F7CE89" w:rsidR="00A368C6" w:rsidRPr="00487673" w:rsidRDefault="00A368C6" w:rsidP="00A368C6">
      <w:pPr>
        <w:pStyle w:val="BodyText1"/>
      </w:pPr>
      <w:r w:rsidRPr="00487673">
        <w:t xml:space="preserve">The discharge quality and flow conditions attached to this </w:t>
      </w:r>
      <w:r w:rsidR="000033B0">
        <w:t>permit</w:t>
      </w:r>
      <w:r w:rsidRPr="00487673">
        <w:t xml:space="preserve"> are based on a current PE of &lt;&lt;INSERT current PE&gt;&gt; and OR a design PE of &lt;&lt;INSERT design PE&gt;&gt;</w:t>
      </w:r>
    </w:p>
    <w:p w14:paraId="1A716FEC" w14:textId="46CC5640" w:rsidR="00A368C6" w:rsidRPr="00B9165F" w:rsidRDefault="00A368C6" w:rsidP="00A368C6">
      <w:pPr>
        <w:pStyle w:val="BodyText1"/>
      </w:pPr>
      <w:r w:rsidRPr="00B9165F">
        <w:t xml:space="preserve">This </w:t>
      </w:r>
      <w:r w:rsidR="00510A83">
        <w:t>will</w:t>
      </w:r>
      <w:r w:rsidRPr="00B9165F">
        <w:t xml:space="preserve"> be amended to -</w:t>
      </w:r>
    </w:p>
    <w:p w14:paraId="0CDF8003" w14:textId="281C06A5" w:rsidR="00A368C6" w:rsidRPr="00487673" w:rsidRDefault="00A368C6" w:rsidP="00A368C6">
      <w:pPr>
        <w:pStyle w:val="BodyText1"/>
      </w:pPr>
      <w:r w:rsidRPr="00487673">
        <w:lastRenderedPageBreak/>
        <w:t xml:space="preserve">The discharge quality and flow conditions (namely Dry Weather Flow, Flow to Full Treatment AND/OR storm tank size) attached to this </w:t>
      </w:r>
      <w:r w:rsidR="000033B0">
        <w:t>permit</w:t>
      </w:r>
      <w:r w:rsidRPr="00487673">
        <w:t xml:space="preserve"> were based on a design PE of &lt;&lt;INSERT design PE&gt;&gt; at the date of issue of this </w:t>
      </w:r>
      <w:r w:rsidR="000033B0">
        <w:t>permit</w:t>
      </w:r>
      <w:r w:rsidRPr="00487673">
        <w:t xml:space="preserve"> &lt;&lt;DD/MM/YYYY&gt;&gt;, but are also sufficient to account for the organic biodegradable load from a design PE of &lt;&lt;INSERT design PE&gt;&gt;, as calculated on &lt;&lt;DD/MM/YYYY&gt;&gt; </w:t>
      </w:r>
    </w:p>
    <w:p w14:paraId="753EAD4E" w14:textId="77777777" w:rsidR="00A368C6" w:rsidRPr="00B9165F" w:rsidRDefault="00A368C6" w:rsidP="00A368C6">
      <w:pPr>
        <w:pStyle w:val="BodyText1"/>
      </w:pPr>
      <w:r w:rsidRPr="00B9165F">
        <w:t>Charging need to be informed.</w:t>
      </w:r>
    </w:p>
    <w:p w14:paraId="008B8EB6" w14:textId="304EF2A7" w:rsidR="00A368C6" w:rsidRPr="00B9165F" w:rsidRDefault="00A368C6" w:rsidP="00A368C6">
      <w:pPr>
        <w:pStyle w:val="BodyText1"/>
      </w:pPr>
      <w:r w:rsidRPr="00B9165F">
        <w:t xml:space="preserve">If these </w:t>
      </w:r>
      <w:r w:rsidR="000033B0">
        <w:t>permit</w:t>
      </w:r>
      <w:r w:rsidRPr="00B9165F">
        <w:t xml:space="preserve"> limits are calculated to be </w:t>
      </w:r>
      <w:proofErr w:type="gramStart"/>
      <w:r w:rsidRPr="00B9165F">
        <w:t>exceeded</w:t>
      </w:r>
      <w:proofErr w:type="gramEnd"/>
      <w:r w:rsidRPr="00B9165F">
        <w:t xml:space="preserve"> then there is an indication that the STW may be overloaded by the future pe.  It then needs to be determined whether this is environmentally acceptable.</w:t>
      </w:r>
    </w:p>
    <w:p w14:paraId="04EE9BE3" w14:textId="77777777" w:rsidR="00A368C6" w:rsidRPr="00B9165F" w:rsidRDefault="00A368C6" w:rsidP="00A368C6">
      <w:pPr>
        <w:pStyle w:val="Heading2"/>
      </w:pPr>
      <w:bookmarkStart w:id="73" w:name="_Toc157763847"/>
      <w:bookmarkStart w:id="74" w:name="_Toc184195294"/>
      <w:bookmarkStart w:id="75" w:name="_Toc193873854"/>
      <w:r w:rsidRPr="00B9165F">
        <w:t>3.3</w:t>
      </w:r>
      <w:r w:rsidRPr="00B9165F">
        <w:tab/>
        <w:t>Design FFT</w:t>
      </w:r>
      <w:bookmarkEnd w:id="73"/>
      <w:bookmarkEnd w:id="74"/>
      <w:bookmarkEnd w:id="75"/>
    </w:p>
    <w:p w14:paraId="50DEF6AE" w14:textId="77777777" w:rsidR="00A368C6" w:rsidRPr="00B9165F" w:rsidRDefault="00A368C6" w:rsidP="00A368C6">
      <w:pPr>
        <w:pStyle w:val="BodyText1"/>
      </w:pPr>
      <w:bookmarkStart w:id="76" w:name="_Toc364167811"/>
      <w:r w:rsidRPr="00B9165F">
        <w:t>The industry design standard FFT is 3PG + I</w:t>
      </w:r>
      <w:r w:rsidRPr="00B9165F">
        <w:rPr>
          <w:vertAlign w:val="subscript"/>
        </w:rPr>
        <w:t>max</w:t>
      </w:r>
      <w:r w:rsidRPr="00B9165F">
        <w:t xml:space="preserve"> + 3E, also referred to as 3DWF.</w:t>
      </w:r>
    </w:p>
    <w:p w14:paraId="14AA64C9" w14:textId="77777777" w:rsidR="00A368C6" w:rsidRPr="00B9165F" w:rsidRDefault="00A368C6" w:rsidP="00A368C6">
      <w:pPr>
        <w:pStyle w:val="BodyText1"/>
      </w:pPr>
      <w:r w:rsidRPr="00B9165F">
        <w:t>I</w:t>
      </w:r>
      <w:r w:rsidRPr="00B9165F">
        <w:rPr>
          <w:vertAlign w:val="subscript"/>
        </w:rPr>
        <w:t>max</w:t>
      </w:r>
      <w:r w:rsidRPr="00B9165F">
        <w:t>, the maximum possible infiltration rate should be used.  This is because the flow to full treatment</w:t>
      </w:r>
      <w:r>
        <w:t xml:space="preserve"> (</w:t>
      </w:r>
      <w:r w:rsidRPr="00B9165F">
        <w:t>FFT</w:t>
      </w:r>
      <w:r>
        <w:t>)</w:t>
      </w:r>
      <w:r w:rsidRPr="00B9165F">
        <w:t xml:space="preserve"> needs to be appropriate throughout the year</w:t>
      </w:r>
      <w:r w:rsidRPr="00B9165F">
        <w:rPr>
          <w:vertAlign w:val="subscript"/>
        </w:rPr>
        <w:t xml:space="preserve">.  </w:t>
      </w:r>
      <w:r w:rsidRPr="00B9165F">
        <w:t>I</w:t>
      </w:r>
      <w:r w:rsidRPr="00B9165F">
        <w:rPr>
          <w:vertAlign w:val="subscript"/>
        </w:rPr>
        <w:t xml:space="preserve">max </w:t>
      </w:r>
      <w:r w:rsidRPr="00B9165F">
        <w:t>should be calculated using</w:t>
      </w:r>
      <w:r w:rsidRPr="00B9165F">
        <w:rPr>
          <w:vertAlign w:val="subscript"/>
        </w:rPr>
        <w:t xml:space="preserve"> </w:t>
      </w:r>
      <w:r w:rsidRPr="00B9165F">
        <w:t>the maximum minimum night flow on each dry day.</w:t>
      </w:r>
    </w:p>
    <w:p w14:paraId="67E93900" w14:textId="77777777" w:rsidR="00A368C6" w:rsidRPr="00B9165F" w:rsidRDefault="00A368C6" w:rsidP="00A368C6">
      <w:pPr>
        <w:pStyle w:val="BodyText1"/>
      </w:pPr>
      <w:r w:rsidRPr="00B9165F">
        <w:t>To find I</w:t>
      </w:r>
      <w:r w:rsidRPr="00B9165F">
        <w:rPr>
          <w:vertAlign w:val="subscript"/>
        </w:rPr>
        <w:t>max</w:t>
      </w:r>
      <w:r w:rsidRPr="00B9165F">
        <w:t>, calculate infiltration for every dry day as:</w:t>
      </w:r>
    </w:p>
    <w:p w14:paraId="793CA7DD" w14:textId="77777777" w:rsidR="00A368C6" w:rsidRPr="00B9165F" w:rsidRDefault="00A368C6" w:rsidP="00A368C6">
      <w:pPr>
        <w:pStyle w:val="BodyText1"/>
      </w:pPr>
      <w:proofErr w:type="spellStart"/>
      <w:r w:rsidRPr="00B9165F">
        <w:t>I</w:t>
      </w:r>
      <w:r w:rsidRPr="00B9165F">
        <w:rPr>
          <w:vertAlign w:val="subscript"/>
        </w:rPr>
        <w:t>dry</w:t>
      </w:r>
      <w:proofErr w:type="spellEnd"/>
      <w:r w:rsidRPr="00B9165F">
        <w:rPr>
          <w:vertAlign w:val="subscript"/>
        </w:rPr>
        <w:t xml:space="preserve"> day</w:t>
      </w:r>
      <w:r w:rsidRPr="00B9165F">
        <w:t xml:space="preserve"> = measured Total Daily Volume − PG </w:t>
      </w:r>
      <w:r>
        <w:t>–</w:t>
      </w:r>
      <w:r w:rsidRPr="00B9165F">
        <w:t xml:space="preserve"> E</w:t>
      </w:r>
      <w:r>
        <w:t>.</w:t>
      </w:r>
    </w:p>
    <w:p w14:paraId="2700B496" w14:textId="77777777" w:rsidR="00A368C6" w:rsidRPr="00B9165F" w:rsidRDefault="00A368C6" w:rsidP="00A368C6">
      <w:pPr>
        <w:pStyle w:val="BodyText1"/>
      </w:pPr>
      <w:r w:rsidRPr="00B9165F">
        <w:t>A dry day is defined as a day when rainfall does not exceed 0.25mm.</w:t>
      </w:r>
    </w:p>
    <w:p w14:paraId="611C962A" w14:textId="77777777" w:rsidR="00A368C6" w:rsidRPr="00B9165F" w:rsidRDefault="00A368C6" w:rsidP="00A368C6">
      <w:pPr>
        <w:pStyle w:val="BodyText1"/>
      </w:pPr>
      <w:r w:rsidRPr="00B9165F">
        <w:t>However, the first day after it has rained should be removed from the calculation.  Where it can be demonstrated that it takes more than one day for rainfall to reach the STW, this second day can be discounted also. Also discount days when there has been significant snow melt and the day after</w:t>
      </w:r>
      <w:r>
        <w:t xml:space="preserve"> as </w:t>
      </w:r>
      <w:r w:rsidRPr="00B9165F">
        <w:t>the flows measured may contain significant runoff or snow melt from the previous day. Infiltration for all the remaining days should be calculated.</w:t>
      </w:r>
    </w:p>
    <w:p w14:paraId="20B9A187" w14:textId="77777777" w:rsidR="00A368C6" w:rsidRPr="00B9165F" w:rsidRDefault="00A368C6" w:rsidP="00A368C6">
      <w:pPr>
        <w:pStyle w:val="BodyText1"/>
      </w:pPr>
      <w:r w:rsidRPr="00B9165F">
        <w:t>The analysis must normally use data from at least 12 consecutive months, with ideally flow data over several years being used.</w:t>
      </w:r>
    </w:p>
    <w:p w14:paraId="0C766A79" w14:textId="77777777" w:rsidR="00A368C6" w:rsidRPr="00B9165F" w:rsidRDefault="00A368C6" w:rsidP="00A368C6">
      <w:pPr>
        <w:pStyle w:val="BodyText1"/>
      </w:pPr>
      <w:r w:rsidRPr="00B9165F">
        <w:t>Where there is no long-term flow monitoring data e.g. where PE &lt;2000, other approaches may be taken. For example</w:t>
      </w:r>
      <w:r>
        <w:t>,</w:t>
      </w:r>
      <w:r w:rsidRPr="00B9165F">
        <w:t xml:space="preserve"> short term flow survey data, modelled information or for growth, default </w:t>
      </w:r>
      <w:r w:rsidRPr="00B9165F">
        <w:lastRenderedPageBreak/>
        <w:t xml:space="preserve">approaches. This would depend on the location, information available and whether there are changes </w:t>
      </w:r>
      <w:proofErr w:type="gramStart"/>
      <w:r w:rsidRPr="00B9165F">
        <w:t>as a result of</w:t>
      </w:r>
      <w:proofErr w:type="gramEnd"/>
      <w:r w:rsidRPr="00B9165F">
        <w:t xml:space="preserve"> growth.  </w:t>
      </w:r>
    </w:p>
    <w:p w14:paraId="35DF60CD" w14:textId="77777777" w:rsidR="00A368C6" w:rsidRPr="00B9165F" w:rsidRDefault="00A368C6" w:rsidP="00A368C6">
      <w:pPr>
        <w:pStyle w:val="BodyText1"/>
      </w:pPr>
      <w:r w:rsidRPr="00B9165F">
        <w:t>The infiltration rate required I</w:t>
      </w:r>
      <w:r w:rsidRPr="00B9165F">
        <w:rPr>
          <w:vertAlign w:val="subscript"/>
        </w:rPr>
        <w:t>max</w:t>
      </w:r>
      <w:r w:rsidRPr="00B9165F">
        <w:t xml:space="preserve"> is the maximum calculated value.</w:t>
      </w:r>
    </w:p>
    <w:p w14:paraId="55915ED4" w14:textId="77777777" w:rsidR="00A368C6" w:rsidRPr="00B9165F" w:rsidRDefault="00A368C6" w:rsidP="00A368C6">
      <w:pPr>
        <w:pStyle w:val="BodyText1"/>
      </w:pPr>
      <w:r w:rsidRPr="00B9165F">
        <w:t xml:space="preserve">Infiltration from the new population needs to be taken account of. An infiltration allowance for the increase in population of 50% of the per capita rate of infiltration in the existing sewerage system can be used. However, other factors can be </w:t>
      </w:r>
      <w:proofErr w:type="gramStart"/>
      <w:r w:rsidRPr="00B9165F">
        <w:t>taken into account</w:t>
      </w:r>
      <w:proofErr w:type="gramEnd"/>
      <w:r w:rsidRPr="00B9165F">
        <w:t xml:space="preserve"> such as the nature of the sewer and the type of development. For example, population increases via infill or high-rise developments may not increase sewer lengths and infiltration significantly.</w:t>
      </w:r>
    </w:p>
    <w:p w14:paraId="44EFDA5C" w14:textId="77777777" w:rsidR="00A368C6" w:rsidRPr="00B9165F" w:rsidRDefault="00A368C6" w:rsidP="00A368C6">
      <w:pPr>
        <w:pStyle w:val="BodyText1"/>
      </w:pPr>
      <w:r w:rsidRPr="00B9165F">
        <w:t>Where there is growth in the catchment, the I</w:t>
      </w:r>
      <w:r w:rsidRPr="00B9165F">
        <w:rPr>
          <w:vertAlign w:val="subscript"/>
        </w:rPr>
        <w:t>max</w:t>
      </w:r>
      <w:r w:rsidRPr="00B9165F">
        <w:t xml:space="preserve"> used should be for the whole sewer system (existing and new), and not just for the new section of sewer.</w:t>
      </w:r>
    </w:p>
    <w:p w14:paraId="4098D21D" w14:textId="77777777" w:rsidR="00A368C6" w:rsidRPr="00B9165F" w:rsidRDefault="00A368C6" w:rsidP="00A368C6">
      <w:pPr>
        <w:pStyle w:val="Heading2"/>
      </w:pPr>
      <w:bookmarkStart w:id="77" w:name="_Toc157763848"/>
      <w:bookmarkStart w:id="78" w:name="_Toc184195295"/>
      <w:bookmarkStart w:id="79" w:name="_Toc193873855"/>
      <w:bookmarkStart w:id="80" w:name="_Hlk127275856"/>
      <w:r w:rsidRPr="00B9165F">
        <w:t>3.4</w:t>
      </w:r>
      <w:r w:rsidRPr="00B9165F">
        <w:tab/>
        <w:t>Formula A</w:t>
      </w:r>
      <w:bookmarkEnd w:id="76"/>
      <w:bookmarkEnd w:id="77"/>
      <w:bookmarkEnd w:id="78"/>
      <w:bookmarkEnd w:id="79"/>
    </w:p>
    <w:bookmarkEnd w:id="80"/>
    <w:p w14:paraId="41C18272" w14:textId="77777777" w:rsidR="00A368C6" w:rsidRPr="00B9165F" w:rsidRDefault="00A368C6" w:rsidP="00A368C6">
      <w:pPr>
        <w:pStyle w:val="BodyText1"/>
      </w:pPr>
      <w:r w:rsidRPr="00B9165F">
        <w:t>Normally all sewage up to the Formula A flow needs to undergo settlement (either primary treatment or a storm tank) and all sewage up to the 3DWF flow needs to undergo full treatment</w:t>
      </w:r>
      <w:r w:rsidRPr="00C97571">
        <w:t>.</w:t>
      </w:r>
    </w:p>
    <w:p w14:paraId="37B61613" w14:textId="77777777" w:rsidR="00A368C6" w:rsidRPr="00B9165F" w:rsidRDefault="00A368C6" w:rsidP="00A368C6">
      <w:pPr>
        <w:pStyle w:val="BodyText1"/>
      </w:pPr>
      <w:r w:rsidRPr="00B9165F">
        <w:t>Formula A = DWF + 1360P + 2E</w:t>
      </w:r>
    </w:p>
    <w:p w14:paraId="5F799564" w14:textId="254AB28E" w:rsidR="00A368C6" w:rsidRPr="00212B63" w:rsidRDefault="00A368C6" w:rsidP="00F9766F">
      <w:pPr>
        <w:pStyle w:val="BodyText1"/>
        <w:rPr>
          <w:u w:val="single"/>
        </w:rPr>
      </w:pPr>
      <w:r w:rsidRPr="00B9165F">
        <w:t>Where there is a significant proportion of the catchment drained on a separate system, a modified Formula A should be used. This is discussed in</w:t>
      </w:r>
      <w:r w:rsidR="00F9766F" w:rsidRPr="00F9766F">
        <w:t xml:space="preserve"> </w:t>
      </w:r>
      <w:r w:rsidR="00F9766F" w:rsidRPr="00FD086A">
        <w:rPr>
          <w:highlight w:val="yellow"/>
        </w:rPr>
        <w:t>WAT-G-058 EASR Guidance:</w:t>
      </w:r>
      <w:r w:rsidR="000C76A7" w:rsidRPr="00FD086A">
        <w:rPr>
          <w:highlight w:val="yellow"/>
        </w:rPr>
        <w:t xml:space="preserve"> </w:t>
      </w:r>
      <w:r w:rsidR="00F9766F" w:rsidRPr="00FD086A">
        <w:rPr>
          <w:highlight w:val="yellow"/>
        </w:rPr>
        <w:t>Sewer Overflows</w:t>
      </w:r>
      <w:r w:rsidRPr="00FD086A">
        <w:t>.</w:t>
      </w:r>
    </w:p>
    <w:p w14:paraId="566509E6" w14:textId="77777777" w:rsidR="00A368C6" w:rsidRPr="00B9165F" w:rsidRDefault="00A368C6" w:rsidP="00A368C6">
      <w:pPr>
        <w:pStyle w:val="Heading1"/>
      </w:pPr>
      <w:bookmarkStart w:id="81" w:name="_Design_Criteria%3A_New_or%20Modified%20"/>
      <w:bookmarkStart w:id="82" w:name="_Toc157763849"/>
      <w:bookmarkStart w:id="83" w:name="_Toc364167812"/>
      <w:bookmarkStart w:id="84" w:name="_Toc184195296"/>
      <w:bookmarkStart w:id="85" w:name="_Toc193873856"/>
      <w:bookmarkEnd w:id="81"/>
      <w:r>
        <w:t>4.</w:t>
      </w:r>
      <w:r>
        <w:tab/>
      </w:r>
      <w:r w:rsidRPr="00B9165F">
        <w:t>Overflows</w:t>
      </w:r>
      <w:bookmarkEnd w:id="82"/>
      <w:bookmarkEnd w:id="83"/>
      <w:bookmarkEnd w:id="84"/>
      <w:bookmarkEnd w:id="85"/>
      <w:r>
        <w:t xml:space="preserve"> </w:t>
      </w:r>
    </w:p>
    <w:p w14:paraId="7D399DF5" w14:textId="0055DE83" w:rsidR="00A368C6" w:rsidRPr="00B9165F" w:rsidRDefault="00A368C6" w:rsidP="000C76A7">
      <w:pPr>
        <w:pStyle w:val="BodyText1"/>
      </w:pPr>
      <w:r w:rsidRPr="00B9165F">
        <w:t xml:space="preserve">Guidance on sewer overflows is available in </w:t>
      </w:r>
      <w:r w:rsidR="000C76A7" w:rsidRPr="00D02E04">
        <w:t>WAT-G-058 EASR Guidance: Sewer Overflows.</w:t>
      </w:r>
      <w:r w:rsidRPr="00B9165F">
        <w:t xml:space="preserve"> This includes storm tank location and sizing, overflow settings and screening requirements.</w:t>
      </w:r>
    </w:p>
    <w:p w14:paraId="266DC54E" w14:textId="77777777" w:rsidR="00A368C6" w:rsidRPr="00B9165F" w:rsidRDefault="00A368C6" w:rsidP="00A368C6">
      <w:pPr>
        <w:pStyle w:val="BodyText1"/>
      </w:pPr>
      <w:r w:rsidRPr="00B9165F">
        <w:t>Improvements should be agreed with Scottish Water through the agreed investment process.</w:t>
      </w:r>
    </w:p>
    <w:p w14:paraId="5C36FA35" w14:textId="4640298E" w:rsidR="00A368C6" w:rsidRPr="00B9165F" w:rsidRDefault="00A368C6" w:rsidP="00FD086A">
      <w:pPr>
        <w:pStyle w:val="BodyText1"/>
      </w:pPr>
      <w:r w:rsidRPr="00B9165F">
        <w:t xml:space="preserve">There are </w:t>
      </w:r>
      <w:proofErr w:type="gramStart"/>
      <w:r w:rsidRPr="00B9165F">
        <w:t>a number of</w:t>
      </w:r>
      <w:proofErr w:type="gramEnd"/>
      <w:r w:rsidRPr="00B9165F">
        <w:t xml:space="preserve"> different ways to configure and operate storm tanks and conditions should reflect the individual circumstances following the guidance in </w:t>
      </w:r>
      <w:r w:rsidR="00FD086A" w:rsidRPr="00D02E04">
        <w:t>WAT-G-058 EASR Guidance: Sewer Overflows</w:t>
      </w:r>
      <w:r w:rsidRPr="00D02E04">
        <w:t>.</w:t>
      </w:r>
    </w:p>
    <w:p w14:paraId="442997EC" w14:textId="77777777" w:rsidR="00A368C6" w:rsidRPr="00B9165F" w:rsidRDefault="00A368C6" w:rsidP="00A368C6">
      <w:pPr>
        <w:pStyle w:val="Heading2"/>
      </w:pPr>
      <w:bookmarkStart w:id="86" w:name="_Toc364167813"/>
      <w:bookmarkStart w:id="87" w:name="_Toc157763850"/>
      <w:bookmarkStart w:id="88" w:name="_Toc184195297"/>
      <w:bookmarkStart w:id="89" w:name="_Toc193873857"/>
      <w:r w:rsidRPr="00B9165F">
        <w:lastRenderedPageBreak/>
        <w:t>4.1</w:t>
      </w:r>
      <w:r w:rsidRPr="00B9165F">
        <w:tab/>
        <w:t xml:space="preserve">Combined </w:t>
      </w:r>
      <w:r>
        <w:t>s</w:t>
      </w:r>
      <w:r w:rsidRPr="00B9165F">
        <w:t xml:space="preserve">ewer </w:t>
      </w:r>
      <w:r>
        <w:t>o</w:t>
      </w:r>
      <w:r w:rsidRPr="00B9165F">
        <w:t>verflows (CSOs)</w:t>
      </w:r>
      <w:bookmarkEnd w:id="86"/>
      <w:bookmarkEnd w:id="87"/>
      <w:bookmarkEnd w:id="88"/>
      <w:bookmarkEnd w:id="89"/>
    </w:p>
    <w:p w14:paraId="0AB61C51" w14:textId="3CE232C1" w:rsidR="00A368C6" w:rsidRPr="00AF1D95" w:rsidRDefault="00A368C6" w:rsidP="00FD086A">
      <w:pPr>
        <w:pStyle w:val="BodyText1"/>
      </w:pPr>
      <w:r w:rsidRPr="00B9165F">
        <w:t xml:space="preserve">Where an existing CSO is satisfactory, the </w:t>
      </w:r>
      <w:r w:rsidR="000033B0">
        <w:t>permit</w:t>
      </w:r>
      <w:r w:rsidRPr="00B9165F">
        <w:t xml:space="preserve"> </w:t>
      </w:r>
      <w:r w:rsidR="00510A83">
        <w:t>will</w:t>
      </w:r>
      <w:r w:rsidRPr="00B9165F">
        <w:t xml:space="preserve"> reflect existing provisions without driving further costs. An unsatisfactory CSO (see paragraph 4, Annex H of the </w:t>
      </w:r>
      <w:r w:rsidRPr="00C97571">
        <w:rPr>
          <w:iCs/>
        </w:rPr>
        <w:t>Urban Wastewater Treatment Regulations Guidance Note</w:t>
      </w:r>
      <w:r w:rsidRPr="00B9165F">
        <w:t xml:space="preserve">) </w:t>
      </w:r>
      <w:r w:rsidR="00510A83">
        <w:t>will</w:t>
      </w:r>
      <w:r w:rsidRPr="00B9165F">
        <w:t xml:space="preserve"> be </w:t>
      </w:r>
      <w:r w:rsidR="003166D3">
        <w:t>permitted</w:t>
      </w:r>
      <w:r w:rsidRPr="00B9165F">
        <w:t xml:space="preserve"> as it is</w:t>
      </w:r>
      <w:r>
        <w:t>. I</w:t>
      </w:r>
      <w:r w:rsidRPr="00B9165F">
        <w:t xml:space="preserve">f investment is required, the CSO should be identified in the agreed investment programme. Where a CSO fails only one of the unsatisfactory criteria, improvements </w:t>
      </w:r>
      <w:r w:rsidR="00B04941">
        <w:t>will</w:t>
      </w:r>
      <w:r w:rsidRPr="00B9165F">
        <w:t xml:space="preserve"> be made to a satisfactory standard for that criterion. If the unsatisfactory CSO is failing two or more criteria, improvements to achieve the full </w:t>
      </w:r>
      <w:r w:rsidR="00981198" w:rsidRPr="00981198">
        <w:t xml:space="preserve">Urban </w:t>
      </w:r>
      <w:proofErr w:type="gramStart"/>
      <w:r w:rsidR="00981198" w:rsidRPr="00981198">
        <w:t>Waste Water</w:t>
      </w:r>
      <w:proofErr w:type="gramEnd"/>
      <w:r w:rsidR="00981198" w:rsidRPr="00981198">
        <w:t xml:space="preserve"> Treatment (Scotland) Regulations 1994 (UWWTR) </w:t>
      </w:r>
      <w:r w:rsidRPr="00B9165F">
        <w:t xml:space="preserve">requirements are required. Similarly, any newly constructed CSO should be designed, constructed and </w:t>
      </w:r>
      <w:r w:rsidR="003166D3">
        <w:t>permitted</w:t>
      </w:r>
      <w:r w:rsidRPr="00B9165F">
        <w:t xml:space="preserve"> to achieve all UWWTR requirements. </w:t>
      </w:r>
      <w:r w:rsidRPr="00AF1D95">
        <w:t xml:space="preserve">See </w:t>
      </w:r>
      <w:r w:rsidR="00FD086A" w:rsidRPr="00D02E04">
        <w:t>WAT-G-058 EASR Guidance: Sewer Overflows</w:t>
      </w:r>
      <w:r w:rsidRPr="00D02E04">
        <w:t>.</w:t>
      </w:r>
    </w:p>
    <w:p w14:paraId="07691244" w14:textId="77777777" w:rsidR="00A368C6" w:rsidRPr="00B9165F" w:rsidRDefault="00A368C6" w:rsidP="00A368C6">
      <w:pPr>
        <w:pStyle w:val="BodyText1"/>
      </w:pPr>
      <w:r w:rsidRPr="00B9165F">
        <w:t>The default overflow setting is Formula A (DWF+1360P+2E) expressed as litres/second. For existing satisfactory discharges, Formula A may be overly conservative in some cases and variations may be acceptable following detailed sewer modelling and impact assessment or where there are very large/small sewerage systems which warrant lower/higher settings respectively.</w:t>
      </w:r>
    </w:p>
    <w:p w14:paraId="61711ADB" w14:textId="78F6E6CB" w:rsidR="00D02E04" w:rsidRDefault="00A368C6" w:rsidP="00D02E04">
      <w:pPr>
        <w:pStyle w:val="BodyText1"/>
      </w:pPr>
      <w:r w:rsidRPr="00B9165F">
        <w:t xml:space="preserve">Where dilution is limited (for example less than 8:1), higher pass forward </w:t>
      </w:r>
      <w:proofErr w:type="gramStart"/>
      <w:r w:rsidRPr="00B9165F">
        <w:t>flows</w:t>
      </w:r>
      <w:proofErr w:type="gramEnd"/>
      <w:r w:rsidRPr="00B9165F">
        <w:t xml:space="preserve"> or additional storm tanks may be required to protect the receiving water. </w:t>
      </w:r>
      <w:r w:rsidRPr="003920E9">
        <w:t xml:space="preserve">See </w:t>
      </w:r>
      <w:bookmarkStart w:id="90" w:name="_Toc364167814"/>
      <w:bookmarkStart w:id="91" w:name="_Toc157763851"/>
      <w:bookmarkStart w:id="92" w:name="_Toc184195298"/>
      <w:r w:rsidR="00D02E04" w:rsidRPr="00D02E04">
        <w:t>WAT-G-058 EASR Guidance: Sewer Overflows</w:t>
      </w:r>
      <w:r w:rsidR="00D02E04">
        <w:t>.</w:t>
      </w:r>
      <w:r w:rsidR="00D02E04" w:rsidRPr="00B9165F">
        <w:t xml:space="preserve"> </w:t>
      </w:r>
    </w:p>
    <w:p w14:paraId="2A282AD5" w14:textId="13CE03B6" w:rsidR="00A368C6" w:rsidRPr="00B9165F" w:rsidRDefault="00A368C6" w:rsidP="00D02E04">
      <w:pPr>
        <w:pStyle w:val="Heading2"/>
      </w:pPr>
      <w:bookmarkStart w:id="93" w:name="_Toc193873858"/>
      <w:r w:rsidRPr="00B9165F">
        <w:t>4.2</w:t>
      </w:r>
      <w:r w:rsidRPr="00B9165F">
        <w:tab/>
        <w:t xml:space="preserve">Settled </w:t>
      </w:r>
      <w:r>
        <w:t>s</w:t>
      </w:r>
      <w:r w:rsidRPr="00B9165F">
        <w:t xml:space="preserve">torm </w:t>
      </w:r>
      <w:r>
        <w:t>s</w:t>
      </w:r>
      <w:r w:rsidRPr="00B9165F">
        <w:t xml:space="preserve">ewage </w:t>
      </w:r>
      <w:r>
        <w:t>o</w:t>
      </w:r>
      <w:r w:rsidRPr="00B9165F">
        <w:t>verflows</w:t>
      </w:r>
      <w:bookmarkEnd w:id="90"/>
      <w:bookmarkEnd w:id="91"/>
      <w:bookmarkEnd w:id="92"/>
      <w:bookmarkEnd w:id="93"/>
    </w:p>
    <w:p w14:paraId="346714EF" w14:textId="610AAAD2" w:rsidR="00A368C6" w:rsidRDefault="00A368C6" w:rsidP="00780C20">
      <w:pPr>
        <w:pStyle w:val="BodyText1"/>
        <w:rPr>
          <w:bCs/>
        </w:rPr>
      </w:pPr>
      <w:r w:rsidRPr="00B9165F">
        <w:rPr>
          <w:bCs/>
        </w:rPr>
        <w:t>Where an existing settled storm tank discharge is satisfactory</w:t>
      </w:r>
      <w:r w:rsidR="00B04941">
        <w:rPr>
          <w:bCs/>
        </w:rPr>
        <w:t>,</w:t>
      </w:r>
      <w:r w:rsidRPr="00B9165F">
        <w:rPr>
          <w:bCs/>
        </w:rPr>
        <w:t xml:space="preserve"> the </w:t>
      </w:r>
      <w:r w:rsidR="000033B0">
        <w:rPr>
          <w:bCs/>
        </w:rPr>
        <w:t>permit</w:t>
      </w:r>
      <w:r w:rsidRPr="00B9165F">
        <w:rPr>
          <w:bCs/>
        </w:rPr>
        <w:t xml:space="preserve"> </w:t>
      </w:r>
      <w:r w:rsidR="00B04941">
        <w:rPr>
          <w:bCs/>
        </w:rPr>
        <w:t>will</w:t>
      </w:r>
      <w:r w:rsidRPr="00B9165F">
        <w:rPr>
          <w:bCs/>
        </w:rPr>
        <w:t xml:space="preserve"> reflect the existing conditions/provisions. Where a storm tank discharge is unsatisfactory (see paragraph 4, Annex H of the </w:t>
      </w:r>
      <w:hyperlink r:id="rId16" w:anchor="docs" w:history="1">
        <w:r w:rsidRPr="00B9165F">
          <w:rPr>
            <w:rStyle w:val="Hyperlink"/>
            <w:bCs/>
          </w:rPr>
          <w:t>UWWTR Guidance Note</w:t>
        </w:r>
      </w:hyperlink>
      <w:r w:rsidRPr="00B9165F">
        <w:rPr>
          <w:bCs/>
        </w:rPr>
        <w:t xml:space="preserve">), due to only one of the criteria, the new </w:t>
      </w:r>
      <w:r w:rsidR="000033B0">
        <w:rPr>
          <w:bCs/>
        </w:rPr>
        <w:t>permit</w:t>
      </w:r>
      <w:r w:rsidRPr="00B9165F">
        <w:rPr>
          <w:bCs/>
        </w:rPr>
        <w:t xml:space="preserve"> </w:t>
      </w:r>
      <w:r w:rsidR="00B04941">
        <w:rPr>
          <w:bCs/>
        </w:rPr>
        <w:t>will</w:t>
      </w:r>
      <w:r w:rsidRPr="00B9165F">
        <w:rPr>
          <w:bCs/>
        </w:rPr>
        <w:t xml:space="preserve"> only tighten performance of the failing criterion. If the unsatisfactory storm tank discharge is failing two or three criteria the </w:t>
      </w:r>
      <w:r w:rsidR="000033B0">
        <w:rPr>
          <w:bCs/>
        </w:rPr>
        <w:t>permit</w:t>
      </w:r>
      <w:r w:rsidRPr="00B9165F">
        <w:rPr>
          <w:bCs/>
        </w:rPr>
        <w:t xml:space="preserve"> </w:t>
      </w:r>
      <w:r w:rsidR="00B04941">
        <w:rPr>
          <w:bCs/>
        </w:rPr>
        <w:t>will</w:t>
      </w:r>
      <w:r w:rsidRPr="00B9165F">
        <w:rPr>
          <w:bCs/>
        </w:rPr>
        <w:t xml:space="preserve"> take account of all requirements.</w:t>
      </w:r>
    </w:p>
    <w:p w14:paraId="5D10E077" w14:textId="11C9F787" w:rsidR="00A368C6" w:rsidRPr="00780C20" w:rsidRDefault="00A368C6" w:rsidP="00780C20">
      <w:pPr>
        <w:pStyle w:val="BodyText1"/>
      </w:pPr>
      <w:r w:rsidRPr="00B9165F">
        <w:rPr>
          <w:bCs/>
        </w:rPr>
        <w:t xml:space="preserve">For existing satisfactory discharges, the settlement storage capacity currently provided </w:t>
      </w:r>
      <w:r w:rsidR="00B04941">
        <w:rPr>
          <w:bCs/>
        </w:rPr>
        <w:t>will</w:t>
      </w:r>
      <w:r w:rsidRPr="00B9165F">
        <w:rPr>
          <w:bCs/>
        </w:rPr>
        <w:t xml:space="preserve"> be stated. The normal requirement is for flows up to 3DWF (3PG + I</w:t>
      </w:r>
      <w:r w:rsidRPr="00B9165F">
        <w:rPr>
          <w:bCs/>
          <w:vertAlign w:val="subscript"/>
        </w:rPr>
        <w:t>max</w:t>
      </w:r>
      <w:r w:rsidRPr="00B9165F">
        <w:rPr>
          <w:bCs/>
        </w:rPr>
        <w:t xml:space="preserve"> + 3E) to receive full treatment and flows in excess, up to Formula A (DWF + 1360P + 2E) to receive 68 litres per head or 2 hours storage at 3DWF prior to discharge or 2 hours storage at Formula ‘A’- FFT. Generally, 2 hours at Formula ‘A’ – FFT is used to calculate storage requirements in cases </w:t>
      </w:r>
      <w:r w:rsidRPr="00B9165F">
        <w:rPr>
          <w:bCs/>
        </w:rPr>
        <w:lastRenderedPageBreak/>
        <w:t xml:space="preserve">where FFT is greater than or less than the standard 3DWF. The storage capacity </w:t>
      </w:r>
      <w:r w:rsidR="00B04941">
        <w:rPr>
          <w:bCs/>
        </w:rPr>
        <w:t>will</w:t>
      </w:r>
      <w:r w:rsidRPr="00B9165F">
        <w:rPr>
          <w:bCs/>
        </w:rPr>
        <w:t xml:space="preserve"> be stipulated in accordance with the above standard design criteria for new or unsatisfactory storm tank discharges. Variations may be permitted following detailed sewer modelling and impact assessment or where there are very large/small sewerage systems which warrant lower/higher settings respectively. In addition to the above storm tanks, further storage capacity may have to be provided at the STW for CSOs on the inlet sewer depending on the available dilution. Refer to </w:t>
      </w:r>
      <w:r w:rsidR="00FD086A" w:rsidRPr="00A17F6C">
        <w:rPr>
          <w:bCs/>
        </w:rPr>
        <w:t>WAT-G-058 EASR Guidance: Sewer Overflows</w:t>
      </w:r>
      <w:r w:rsidR="00FD086A" w:rsidRPr="00FD086A">
        <w:rPr>
          <w:bCs/>
        </w:rPr>
        <w:t xml:space="preserve"> </w:t>
      </w:r>
      <w:r w:rsidRPr="00B9165F">
        <w:rPr>
          <w:bCs/>
        </w:rPr>
        <w:t>for further details.</w:t>
      </w:r>
    </w:p>
    <w:p w14:paraId="6B802CBD" w14:textId="77777777" w:rsidR="00A368C6" w:rsidRPr="00B9165F" w:rsidRDefault="00A368C6" w:rsidP="00A368C6">
      <w:pPr>
        <w:pStyle w:val="Heading2"/>
      </w:pPr>
      <w:bookmarkStart w:id="94" w:name="_Toc364167815"/>
      <w:bookmarkStart w:id="95" w:name="_Toc157763852"/>
      <w:bookmarkStart w:id="96" w:name="_Toc184195299"/>
      <w:bookmarkStart w:id="97" w:name="_Toc193873859"/>
      <w:r w:rsidRPr="00B9165F">
        <w:t>4.3</w:t>
      </w:r>
      <w:r w:rsidRPr="00B9165F">
        <w:tab/>
        <w:t xml:space="preserve">Emergency </w:t>
      </w:r>
      <w:r>
        <w:t>o</w:t>
      </w:r>
      <w:r w:rsidRPr="00B9165F">
        <w:t>verflows (EOs)</w:t>
      </w:r>
      <w:bookmarkEnd w:id="94"/>
      <w:bookmarkEnd w:id="95"/>
      <w:bookmarkEnd w:id="96"/>
      <w:bookmarkEnd w:id="97"/>
    </w:p>
    <w:p w14:paraId="2F414400" w14:textId="67563E0B" w:rsidR="00A368C6" w:rsidRPr="00B9165F" w:rsidRDefault="00A368C6" w:rsidP="00A368C6">
      <w:pPr>
        <w:pStyle w:val="BodyText1"/>
      </w:pPr>
      <w:r w:rsidRPr="00B9165F">
        <w:t xml:space="preserve">EOs </w:t>
      </w:r>
      <w:r w:rsidR="00B04941">
        <w:t>will</w:t>
      </w:r>
      <w:r w:rsidRPr="00B9165F">
        <w:t xml:space="preserve"> only be authorised for pumping stations on the sewer network or at STWs. The emphasis of the schedule of conditions relating to EOs is to ensure that there are adequate arrangements for a quick response to an event </w:t>
      </w:r>
      <w:proofErr w:type="gramStart"/>
      <w:r w:rsidRPr="00B9165F">
        <w:t>in order to</w:t>
      </w:r>
      <w:proofErr w:type="gramEnd"/>
      <w:r w:rsidRPr="00B9165F">
        <w:t xml:space="preserve"> minimise pollution. What is adequate will depend on local circumstances, with telemetry being normally considered essential. The means of minimising pollution, agreed with the operator, may include standby power, storage or access for tankers.</w:t>
      </w:r>
    </w:p>
    <w:p w14:paraId="75DA78DB" w14:textId="77777777" w:rsidR="00A368C6" w:rsidRPr="00B9165F" w:rsidRDefault="00A368C6" w:rsidP="00A368C6">
      <w:pPr>
        <w:pStyle w:val="Heading3"/>
      </w:pPr>
      <w:bookmarkStart w:id="98" w:name="_Toc364167816"/>
      <w:bookmarkStart w:id="99" w:name="_Toc184195300"/>
      <w:bookmarkStart w:id="100" w:name="_Toc193873860"/>
      <w:r>
        <w:t>4.3.1</w:t>
      </w:r>
      <w:r>
        <w:tab/>
      </w:r>
      <w:r w:rsidRPr="00B9165F">
        <w:t>Screening</w:t>
      </w:r>
      <w:bookmarkEnd w:id="98"/>
      <w:bookmarkEnd w:id="99"/>
      <w:bookmarkEnd w:id="100"/>
    </w:p>
    <w:p w14:paraId="595B66FD" w14:textId="77777777" w:rsidR="00A368C6" w:rsidRPr="00B9165F" w:rsidRDefault="00A368C6" w:rsidP="00A368C6">
      <w:pPr>
        <w:pStyle w:val="BodyText1"/>
      </w:pPr>
      <w:r w:rsidRPr="00B9165F">
        <w:t>12-18mm bar screening is acceptable, however the discharger may choose to put in 10mm bar screening.</w:t>
      </w:r>
    </w:p>
    <w:p w14:paraId="228AD473" w14:textId="77777777" w:rsidR="00A368C6" w:rsidRPr="00B9165F" w:rsidRDefault="00A368C6" w:rsidP="00A368C6">
      <w:pPr>
        <w:pStyle w:val="Heading3"/>
      </w:pPr>
      <w:bookmarkStart w:id="101" w:name="_Toc364167817"/>
      <w:bookmarkStart w:id="102" w:name="_Toc184195301"/>
      <w:bookmarkStart w:id="103" w:name="_Toc193873861"/>
      <w:r w:rsidRPr="00B9165F">
        <w:t>4.3.2</w:t>
      </w:r>
      <w:r w:rsidRPr="00B9165F">
        <w:tab/>
        <w:t>Storage</w:t>
      </w:r>
      <w:bookmarkEnd w:id="101"/>
      <w:bookmarkEnd w:id="102"/>
      <w:bookmarkEnd w:id="103"/>
    </w:p>
    <w:p w14:paraId="4304FFC4" w14:textId="1E5860E1" w:rsidR="00A368C6" w:rsidRPr="00B9165F" w:rsidRDefault="00A368C6" w:rsidP="00A368C6">
      <w:pPr>
        <w:pStyle w:val="BodyText1"/>
      </w:pPr>
      <w:r w:rsidRPr="00B9165F">
        <w:t>Storage is provided to allow the operator time to take preventative measures in the event of station failure</w:t>
      </w:r>
      <w:r w:rsidR="00FF3DD4">
        <w:t xml:space="preserve"> </w:t>
      </w:r>
      <w:r w:rsidRPr="00B9165F">
        <w:t xml:space="preserve">and thereby minimise the risk of a discharge occurring. A minimum of 2 hours storage at 3DWF (3PG + I + 3E) should be provided at new pumping stations. This may be reduced to 1 hour for stations which the operator or their agents can attend </w:t>
      </w:r>
      <w:proofErr w:type="gramStart"/>
      <w:r w:rsidRPr="00B9165F">
        <w:t>quickly</w:t>
      </w:r>
      <w:proofErr w:type="gramEnd"/>
      <w:r w:rsidRPr="00B9165F">
        <w:t xml:space="preserve"> and which have other mitigation measures in place to minimise the risk of the overflow operating, i.e. automatic standby pumps, dual power supply etc.</w:t>
      </w:r>
    </w:p>
    <w:p w14:paraId="31D4E0B0" w14:textId="77777777" w:rsidR="00A368C6" w:rsidRPr="00B9165F" w:rsidRDefault="00A368C6" w:rsidP="00A368C6">
      <w:pPr>
        <w:pStyle w:val="BodyText1"/>
      </w:pPr>
      <w:r w:rsidRPr="00B9165F">
        <w:t>Where operation of the EO would result in partially treated, secondary or tertiary treated effluent being discharged, precautions such as storage tanks may not be justified.</w:t>
      </w:r>
    </w:p>
    <w:p w14:paraId="4EBC9BA6" w14:textId="2B23023D" w:rsidR="00A368C6" w:rsidRPr="00B9165F" w:rsidRDefault="00A368C6" w:rsidP="00A368C6">
      <w:pPr>
        <w:pStyle w:val="BodyText1"/>
      </w:pPr>
      <w:r w:rsidRPr="00B9165F">
        <w:lastRenderedPageBreak/>
        <w:t xml:space="preserve">For existing pumping stations which are problematic, the </w:t>
      </w:r>
      <w:r w:rsidR="000033B0">
        <w:t>permit</w:t>
      </w:r>
      <w:r w:rsidRPr="00B9165F">
        <w:t xml:space="preserve"> </w:t>
      </w:r>
      <w:r w:rsidR="00B04941">
        <w:t>will</w:t>
      </w:r>
      <w:r w:rsidRPr="00B9165F">
        <w:t xml:space="preserve"> be modified to include enhancements required to provide adequate protection within a specified </w:t>
      </w:r>
      <w:proofErr w:type="gramStart"/>
      <w:r w:rsidRPr="00B9165F">
        <w:t>time-scale</w:t>
      </w:r>
      <w:proofErr w:type="gramEnd"/>
      <w:r w:rsidRPr="00B9165F">
        <w:t xml:space="preserve"> agreed with Scottish Water through the agreed investment process.</w:t>
      </w:r>
    </w:p>
    <w:p w14:paraId="34AC15BC" w14:textId="77777777" w:rsidR="00A368C6" w:rsidRPr="00B9165F" w:rsidRDefault="00A368C6" w:rsidP="00A368C6">
      <w:pPr>
        <w:pStyle w:val="Heading3"/>
      </w:pPr>
      <w:bookmarkStart w:id="104" w:name="_Toc364167818"/>
      <w:bookmarkStart w:id="105" w:name="_Toc184195302"/>
      <w:bookmarkStart w:id="106" w:name="_Toc193873862"/>
      <w:r w:rsidRPr="00B9165F">
        <w:t>4.3.3</w:t>
      </w:r>
      <w:r w:rsidRPr="00B9165F">
        <w:tab/>
        <w:t>Telemetry</w:t>
      </w:r>
      <w:bookmarkEnd w:id="104"/>
      <w:bookmarkEnd w:id="105"/>
      <w:bookmarkEnd w:id="106"/>
    </w:p>
    <w:p w14:paraId="1D78898F" w14:textId="0FF6FBFB" w:rsidR="00A368C6" w:rsidRPr="00B9165F" w:rsidRDefault="00A368C6" w:rsidP="00780C20">
      <w:pPr>
        <w:pStyle w:val="BodyText1"/>
      </w:pPr>
      <w:r w:rsidRPr="00B9165F">
        <w:t>There are two types of telemetry alarm</w:t>
      </w:r>
      <w:r>
        <w:t>. O</w:t>
      </w:r>
      <w:r w:rsidRPr="00B9165F">
        <w:t xml:space="preserve">ne to advise of pump failure (e.g. due to loss of power or mechanical failure) and the other to advise of high level in the wet well and/or operation of the overflow. Typically, the requirement is for notification of pumping station failure only. Notification of operation of the overflow </w:t>
      </w:r>
      <w:r w:rsidR="00B04941">
        <w:t>will</w:t>
      </w:r>
      <w:r w:rsidRPr="00B9165F">
        <w:t xml:space="preserve"> only be required in </w:t>
      </w:r>
      <w:proofErr w:type="gramStart"/>
      <w:r w:rsidRPr="00B9165F">
        <w:t>high risk</w:t>
      </w:r>
      <w:proofErr w:type="gramEnd"/>
      <w:r w:rsidRPr="00B9165F">
        <w:t xml:space="preserve"> locations, e.g. risk of impact on shellfish or bathing waters. Requirements and installation dates should be agreed with the operator.</w:t>
      </w:r>
    </w:p>
    <w:p w14:paraId="3441F363" w14:textId="77777777" w:rsidR="00A368C6" w:rsidRPr="00B9165F" w:rsidRDefault="00A368C6" w:rsidP="00A368C6">
      <w:pPr>
        <w:pStyle w:val="Heading3"/>
      </w:pPr>
      <w:bookmarkStart w:id="107" w:name="_Toc364167819"/>
      <w:bookmarkStart w:id="108" w:name="_Toc184195303"/>
      <w:bookmarkStart w:id="109" w:name="_Toc193873863"/>
      <w:r w:rsidRPr="00B9165F">
        <w:t>4.3.4</w:t>
      </w:r>
      <w:r w:rsidRPr="00B9165F">
        <w:tab/>
        <w:t xml:space="preserve">Response </w:t>
      </w:r>
      <w:r>
        <w:t>t</w:t>
      </w:r>
      <w:r w:rsidRPr="00B9165F">
        <w:t>ime</w:t>
      </w:r>
      <w:bookmarkEnd w:id="107"/>
      <w:bookmarkEnd w:id="108"/>
      <w:bookmarkEnd w:id="109"/>
    </w:p>
    <w:p w14:paraId="6122FEE5" w14:textId="6A854BF7" w:rsidR="00A368C6" w:rsidRPr="00B9165F" w:rsidRDefault="00A368C6" w:rsidP="00A368C6">
      <w:pPr>
        <w:pStyle w:val="BodyText1"/>
      </w:pPr>
      <w:r w:rsidRPr="00B9165F">
        <w:t xml:space="preserve">There are a range of </w:t>
      </w:r>
      <w:r w:rsidR="000033B0">
        <w:t>permit</w:t>
      </w:r>
      <w:r w:rsidRPr="00B9165F">
        <w:t xml:space="preserve"> condition options relating to response time. The choice of condition </w:t>
      </w:r>
      <w:r w:rsidR="00B04941">
        <w:t>will</w:t>
      </w:r>
      <w:r w:rsidRPr="00B9165F">
        <w:t xml:space="preserve"> be agreed between SEPA and the operator having regard to storage capacity, remoteness of site, risk to downstream users etc. The quality of the effluent should be considered since some EOs consist of treated or partially treated effluent.</w:t>
      </w:r>
    </w:p>
    <w:p w14:paraId="1699808B" w14:textId="77777777" w:rsidR="00A368C6" w:rsidRPr="00B9165F" w:rsidRDefault="00A368C6" w:rsidP="00A368C6">
      <w:pPr>
        <w:pStyle w:val="Heading3"/>
      </w:pPr>
      <w:bookmarkStart w:id="110" w:name="_Toc364167820"/>
      <w:bookmarkStart w:id="111" w:name="_Toc184195304"/>
      <w:bookmarkStart w:id="112" w:name="_Toc193873864"/>
      <w:r w:rsidRPr="00B9165F">
        <w:t>4.3.5</w:t>
      </w:r>
      <w:r w:rsidRPr="00B9165F">
        <w:tab/>
        <w:t>Power</w:t>
      </w:r>
      <w:bookmarkEnd w:id="110"/>
      <w:bookmarkEnd w:id="111"/>
      <w:bookmarkEnd w:id="112"/>
    </w:p>
    <w:p w14:paraId="19E516CF" w14:textId="6747EE57" w:rsidR="00A368C6" w:rsidRPr="00B9165F" w:rsidRDefault="00A368C6" w:rsidP="00A368C6">
      <w:pPr>
        <w:pStyle w:val="BodyText1"/>
      </w:pPr>
      <w:r w:rsidRPr="00B9165F">
        <w:t xml:space="preserve">The selection of the most appropriate alternative power supply is dependent upon the vulnerability of the receiving waters. Provision of facilities to allow a mobile generator to be installed is the least onerous requirement. A permanent stand-by generator or duplicate electricity supply (fed from two separate sub-stations) </w:t>
      </w:r>
      <w:r w:rsidR="00B04941">
        <w:t>will</w:t>
      </w:r>
      <w:r w:rsidRPr="00B9165F">
        <w:t xml:space="preserve"> only be required for </w:t>
      </w:r>
      <w:proofErr w:type="gramStart"/>
      <w:r w:rsidRPr="00B9165F">
        <w:t>high risk</w:t>
      </w:r>
      <w:proofErr w:type="gramEnd"/>
      <w:r w:rsidRPr="00B9165F">
        <w:t xml:space="preserve"> sites.</w:t>
      </w:r>
    </w:p>
    <w:p w14:paraId="04A8D387" w14:textId="77777777" w:rsidR="00A368C6" w:rsidRPr="00B9165F" w:rsidRDefault="00A368C6" w:rsidP="00A368C6">
      <w:pPr>
        <w:pStyle w:val="Heading3"/>
      </w:pPr>
      <w:bookmarkStart w:id="113" w:name="_Toc364167821"/>
      <w:bookmarkStart w:id="114" w:name="_Toc184195305"/>
      <w:bookmarkStart w:id="115" w:name="_Toc193873865"/>
      <w:r w:rsidRPr="00B9165F">
        <w:t>4.3.6</w:t>
      </w:r>
      <w:r w:rsidRPr="00B9165F">
        <w:tab/>
        <w:t>Pumps</w:t>
      </w:r>
      <w:bookmarkEnd w:id="113"/>
      <w:bookmarkEnd w:id="114"/>
      <w:bookmarkEnd w:id="115"/>
    </w:p>
    <w:p w14:paraId="5BC78ABA" w14:textId="77777777" w:rsidR="00A368C6" w:rsidRPr="00B9165F" w:rsidRDefault="00A368C6" w:rsidP="00A368C6">
      <w:pPr>
        <w:pStyle w:val="BodyText1"/>
      </w:pPr>
      <w:r w:rsidRPr="00B9165F">
        <w:t xml:space="preserve">Standby pumps should be provided in case of failure of the duty pump(s). The standby pump(s) capacity must normally be equivalent to the duty pump(s) capacity. However, in larger pumping stations, where multiple duty pumps are provided, there is less justification for equivalent standby pumps since it is unlikely that more than one duty pump would fail at any one time. Should the duty pump(s) fail, the standby pump(s) should activate automatically. The option for activation “as soon as practicable” should only be used for existing sites, and in this case, </w:t>
      </w:r>
      <w:r w:rsidRPr="00B9165F">
        <w:lastRenderedPageBreak/>
        <w:t>modification of the set up to automatic activation should be considered. Pumps at new pumping stations should reactivate immediately after power is restored.</w:t>
      </w:r>
    </w:p>
    <w:p w14:paraId="1121F39D" w14:textId="77777777" w:rsidR="00A368C6" w:rsidRPr="00DA230B" w:rsidRDefault="00A368C6" w:rsidP="00A368C6">
      <w:pPr>
        <w:pStyle w:val="Heading1"/>
      </w:pPr>
      <w:bookmarkStart w:id="116" w:name="_Toc364167822"/>
      <w:bookmarkStart w:id="117" w:name="_Toc157763853"/>
      <w:bookmarkStart w:id="118" w:name="_Toc184195306"/>
      <w:bookmarkStart w:id="119" w:name="_Toc193873866"/>
      <w:r>
        <w:t>5.</w:t>
      </w:r>
      <w:r>
        <w:tab/>
      </w:r>
      <w:r w:rsidRPr="00DA230B">
        <w:t xml:space="preserve">Discharge </w:t>
      </w:r>
      <w:r>
        <w:t>s</w:t>
      </w:r>
      <w:r w:rsidRPr="00DA230B">
        <w:t>tandards and UWWT (Scotland) Regulations 1994</w:t>
      </w:r>
      <w:bookmarkEnd w:id="116"/>
      <w:bookmarkEnd w:id="117"/>
      <w:bookmarkEnd w:id="118"/>
      <w:bookmarkEnd w:id="119"/>
    </w:p>
    <w:p w14:paraId="5E8B930B" w14:textId="1EABF32E" w:rsidR="00A368C6" w:rsidRDefault="000033B0" w:rsidP="00780C20">
      <w:pPr>
        <w:pStyle w:val="BodyText1"/>
      </w:pPr>
      <w:r>
        <w:t>Permits</w:t>
      </w:r>
      <w:r w:rsidR="00A368C6" w:rsidRPr="00430E5D">
        <w:t xml:space="preserve"> for Urban </w:t>
      </w:r>
      <w:proofErr w:type="gramStart"/>
      <w:r w:rsidR="00A368C6" w:rsidRPr="00430E5D">
        <w:t>Waste Water</w:t>
      </w:r>
      <w:proofErr w:type="gramEnd"/>
      <w:r w:rsidR="00A368C6" w:rsidRPr="00430E5D">
        <w:t xml:space="preserve"> Treatment (Scotland) Regulations 1994 (UWWTR) qualifying discharges (i.e. greater than 2000 </w:t>
      </w:r>
      <w:proofErr w:type="spellStart"/>
      <w:r w:rsidR="00A368C6" w:rsidRPr="00430E5D">
        <w:t>p.e.</w:t>
      </w:r>
      <w:proofErr w:type="spellEnd"/>
      <w:r w:rsidR="00A368C6" w:rsidRPr="00430E5D">
        <w:t xml:space="preserve"> to inland waters and estuaries and greater than 10,000 </w:t>
      </w:r>
      <w:proofErr w:type="spellStart"/>
      <w:r w:rsidR="00A368C6" w:rsidRPr="00430E5D">
        <w:t>p.e.</w:t>
      </w:r>
      <w:proofErr w:type="spellEnd"/>
      <w:r w:rsidR="00A368C6" w:rsidRPr="00430E5D">
        <w:t xml:space="preserve"> to coastal waters) require:</w:t>
      </w:r>
    </w:p>
    <w:p w14:paraId="2B94F200" w14:textId="77777777" w:rsidR="00A368C6" w:rsidRPr="00430E5D" w:rsidRDefault="00A368C6" w:rsidP="00780C20">
      <w:pPr>
        <w:pStyle w:val="BodyText1"/>
        <w:numPr>
          <w:ilvl w:val="0"/>
          <w:numId w:val="36"/>
        </w:numPr>
      </w:pPr>
      <w:r w:rsidRPr="00430E5D">
        <w:t>a UWWTR schedule which contains UWWTR required standards and</w:t>
      </w:r>
    </w:p>
    <w:p w14:paraId="0C14BE26" w14:textId="44E4B76E" w:rsidR="00A368C6" w:rsidRPr="00430E5D" w:rsidRDefault="00A368C6" w:rsidP="00780C20">
      <w:pPr>
        <w:pStyle w:val="BodyText1"/>
        <w:numPr>
          <w:ilvl w:val="0"/>
          <w:numId w:val="36"/>
        </w:numPr>
      </w:pPr>
      <w:r w:rsidRPr="00430E5D">
        <w:t>a</w:t>
      </w:r>
      <w:r w:rsidR="000033B0">
        <w:t>n EASR</w:t>
      </w:r>
      <w:r w:rsidR="001F6FAB">
        <w:t xml:space="preserve"> </w:t>
      </w:r>
      <w:r w:rsidRPr="00430E5D">
        <w:t>schedule (treated sewage effluent schedule) which contains standards required to protect the receiving water.</w:t>
      </w:r>
    </w:p>
    <w:p w14:paraId="12CF6A9C" w14:textId="2AD0B42C" w:rsidR="00A368C6" w:rsidRPr="00430E5D" w:rsidRDefault="000033B0" w:rsidP="00780C20">
      <w:pPr>
        <w:pStyle w:val="BodyText1"/>
      </w:pPr>
      <w:r>
        <w:t>Permits</w:t>
      </w:r>
      <w:r w:rsidR="00A368C6" w:rsidRPr="00430E5D">
        <w:t xml:space="preserve"> for non-qualifying discharges (i.e. &lt;2000 </w:t>
      </w:r>
      <w:proofErr w:type="spellStart"/>
      <w:r w:rsidR="00A368C6" w:rsidRPr="00430E5D">
        <w:t>p.e.</w:t>
      </w:r>
      <w:proofErr w:type="spellEnd"/>
      <w:r w:rsidR="00A368C6" w:rsidRPr="00430E5D">
        <w:t xml:space="preserve"> to inland waters and estuaries and &lt;10000 </w:t>
      </w:r>
      <w:proofErr w:type="spellStart"/>
      <w:r w:rsidR="00A368C6" w:rsidRPr="00430E5D">
        <w:t>p.e.</w:t>
      </w:r>
      <w:proofErr w:type="spellEnd"/>
      <w:r w:rsidR="00A368C6" w:rsidRPr="00430E5D">
        <w:t xml:space="preserve"> to coastal waters) requiring </w:t>
      </w:r>
      <w:r w:rsidR="00A368C6" w:rsidRPr="008C3B45">
        <w:t>‘appropriate treatment’</w:t>
      </w:r>
      <w:r w:rsidR="00A368C6" w:rsidRPr="00430E5D">
        <w:t xml:space="preserve"> under UWWTR have a</w:t>
      </w:r>
      <w:r w:rsidR="001F6FAB">
        <w:t xml:space="preserve">n EASR </w:t>
      </w:r>
      <w:r w:rsidR="00A368C6" w:rsidRPr="00430E5D">
        <w:t>schedule only which contains standards required to protect the receiving water.</w:t>
      </w:r>
    </w:p>
    <w:p w14:paraId="3A399BFE" w14:textId="74FBE3FC" w:rsidR="00A368C6" w:rsidRPr="00C97571" w:rsidRDefault="00A368C6" w:rsidP="00780C20">
      <w:pPr>
        <w:pStyle w:val="BodyText1"/>
      </w:pPr>
      <w:r>
        <w:t>S</w:t>
      </w:r>
      <w:r w:rsidRPr="00430E5D">
        <w:t xml:space="preserve">ection </w:t>
      </w:r>
      <w:r w:rsidRPr="00FF3DD4">
        <w:rPr>
          <w:color w:val="2B579A"/>
          <w:shd w:val="clear" w:color="auto" w:fill="E6E6E6"/>
        </w:rPr>
        <w:fldChar w:fldCharType="begin"/>
      </w:r>
      <w:r w:rsidRPr="00FF3DD4">
        <w:instrText xml:space="preserve"> REF _Ref364171409 \r \h  \* MERGEFORMAT </w:instrText>
      </w:r>
      <w:r w:rsidRPr="00FF3DD4">
        <w:rPr>
          <w:color w:val="2B579A"/>
          <w:shd w:val="clear" w:color="auto" w:fill="E6E6E6"/>
        </w:rPr>
      </w:r>
      <w:r w:rsidRPr="00FF3DD4">
        <w:rPr>
          <w:color w:val="2B579A"/>
          <w:shd w:val="clear" w:color="auto" w:fill="E6E6E6"/>
        </w:rPr>
        <w:fldChar w:fldCharType="separate"/>
      </w:r>
      <w:r w:rsidRPr="00FF3DD4">
        <w:t>5.5</w:t>
      </w:r>
      <w:r w:rsidRPr="00FF3DD4">
        <w:rPr>
          <w:color w:val="2B579A"/>
          <w:shd w:val="clear" w:color="auto" w:fill="E6E6E6"/>
        </w:rPr>
        <w:fldChar w:fldCharType="end"/>
      </w:r>
      <w:r w:rsidRPr="00FF3DD4">
        <w:t xml:space="preserve"> </w:t>
      </w:r>
      <w:r w:rsidR="009F407B">
        <w:t>provides</w:t>
      </w:r>
      <w:r w:rsidRPr="00FF3DD4">
        <w:t xml:space="preserve"> an</w:t>
      </w:r>
      <w:r w:rsidRPr="00430E5D">
        <w:t xml:space="preserve"> explanation of how to apply discharge quality conditions under different scenarios</w:t>
      </w:r>
      <w:r w:rsidRPr="00C97571">
        <w:t>.</w:t>
      </w:r>
    </w:p>
    <w:p w14:paraId="4F223763" w14:textId="77777777" w:rsidR="00A368C6" w:rsidRPr="00CE1FAA" w:rsidRDefault="00A368C6" w:rsidP="00A368C6">
      <w:pPr>
        <w:pStyle w:val="Heading2"/>
      </w:pPr>
      <w:bookmarkStart w:id="120" w:name="_Toc364167823"/>
      <w:bookmarkStart w:id="121" w:name="_Toc157763854"/>
      <w:bookmarkStart w:id="122" w:name="_Toc184195307"/>
      <w:bookmarkStart w:id="123" w:name="_Toc193873867"/>
      <w:r w:rsidRPr="00CE1FAA">
        <w:t>5.1</w:t>
      </w:r>
      <w:r w:rsidRPr="00CE1FAA">
        <w:tab/>
        <w:t>Appropriate treatment</w:t>
      </w:r>
      <w:bookmarkEnd w:id="120"/>
      <w:bookmarkEnd w:id="121"/>
      <w:bookmarkEnd w:id="122"/>
      <w:bookmarkEnd w:id="123"/>
    </w:p>
    <w:p w14:paraId="6EB3C22E" w14:textId="06D66C94" w:rsidR="00A368C6" w:rsidRPr="00D477F6" w:rsidRDefault="00A368C6" w:rsidP="00A368C6">
      <w:pPr>
        <w:pStyle w:val="BodyText1"/>
      </w:pPr>
      <w:r w:rsidRPr="00D477F6">
        <w:t xml:space="preserve">Appropriate treatment means treatment of urban </w:t>
      </w:r>
      <w:proofErr w:type="gramStart"/>
      <w:r w:rsidRPr="00D477F6">
        <w:t>waste water</w:t>
      </w:r>
      <w:proofErr w:type="gramEnd"/>
      <w:r w:rsidRPr="00D477F6">
        <w:t xml:space="preserve"> by any process and/or disposal system which, after discharge, allows the receiving waters to meet the relevant quality objectives and the relevant provisions of the </w:t>
      </w:r>
      <w:r w:rsidR="00940704">
        <w:t>European Union</w:t>
      </w:r>
      <w:r w:rsidR="00940704" w:rsidRPr="00D477F6">
        <w:t xml:space="preserve"> </w:t>
      </w:r>
      <w:r w:rsidRPr="00D477F6">
        <w:t xml:space="preserve">UWWTD and other </w:t>
      </w:r>
      <w:r w:rsidR="00940704">
        <w:t xml:space="preserve">EU </w:t>
      </w:r>
      <w:r w:rsidRPr="00D477F6">
        <w:t>Directives. The precise form of appropriate treatment for discharges to freshwaters will depend upon the size of the discharge relative to the receiving water and uses identified downstream.</w:t>
      </w:r>
    </w:p>
    <w:p w14:paraId="012D4A2A" w14:textId="77777777" w:rsidR="00A368C6" w:rsidRPr="00D477F6" w:rsidRDefault="00A368C6" w:rsidP="00A368C6">
      <w:pPr>
        <w:pStyle w:val="BodyText1"/>
      </w:pPr>
      <w:r w:rsidRPr="00D477F6">
        <w:t>For discharges to estuarine and coastal waters, given the dilution and dispersal characteristics, a minimum requirement will normally be screening or equivalent to retain aesthetically objectionable solids.</w:t>
      </w:r>
    </w:p>
    <w:p w14:paraId="4182CCA7" w14:textId="77777777" w:rsidR="00A368C6" w:rsidRPr="00AB29D8" w:rsidRDefault="00A368C6" w:rsidP="00A368C6">
      <w:pPr>
        <w:pStyle w:val="Heading2"/>
      </w:pPr>
      <w:bookmarkStart w:id="124" w:name="_Toc364167824"/>
      <w:bookmarkStart w:id="125" w:name="_Toc157763855"/>
      <w:bookmarkStart w:id="126" w:name="_Toc184195308"/>
      <w:bookmarkStart w:id="127" w:name="_Toc193873868"/>
      <w:r w:rsidRPr="00AB29D8">
        <w:lastRenderedPageBreak/>
        <w:t>5.2</w:t>
      </w:r>
      <w:r w:rsidRPr="00AB29D8">
        <w:tab/>
        <w:t xml:space="preserve">Primary </w:t>
      </w:r>
      <w:r>
        <w:t>t</w:t>
      </w:r>
      <w:r w:rsidRPr="00AB29D8">
        <w:t>reatment</w:t>
      </w:r>
      <w:bookmarkEnd w:id="124"/>
      <w:bookmarkEnd w:id="125"/>
      <w:bookmarkEnd w:id="126"/>
      <w:bookmarkEnd w:id="127"/>
    </w:p>
    <w:p w14:paraId="51F200A1" w14:textId="77777777" w:rsidR="00A368C6" w:rsidRPr="00430E5D" w:rsidRDefault="00A368C6" w:rsidP="00A368C6">
      <w:pPr>
        <w:pStyle w:val="BodyText1"/>
      </w:pPr>
      <w:r w:rsidRPr="00430E5D">
        <w:t xml:space="preserve">Primary treatment means treatment of urban </w:t>
      </w:r>
      <w:proofErr w:type="gramStart"/>
      <w:r w:rsidRPr="00430E5D">
        <w:t>waste water</w:t>
      </w:r>
      <w:proofErr w:type="gramEnd"/>
      <w:r w:rsidRPr="00430E5D">
        <w:t xml:space="preserve"> by a physical and/or chemical process involving settlement of suspended solids, or other processes in which the BOD of the incoming </w:t>
      </w:r>
      <w:proofErr w:type="gramStart"/>
      <w:r w:rsidRPr="00430E5D">
        <w:t>waste water</w:t>
      </w:r>
      <w:proofErr w:type="gramEnd"/>
      <w:r w:rsidRPr="00430E5D">
        <w:t xml:space="preserve"> is reduced by at least 20% and the total suspended solids is reduced by at least 50% before discharge.</w:t>
      </w:r>
    </w:p>
    <w:p w14:paraId="4C0EFD40" w14:textId="77777777" w:rsidR="00A368C6" w:rsidRPr="00490AEA" w:rsidRDefault="00A368C6" w:rsidP="00A368C6">
      <w:pPr>
        <w:pStyle w:val="Heading2"/>
      </w:pPr>
      <w:bookmarkStart w:id="128" w:name="_Toc364167825"/>
      <w:bookmarkStart w:id="129" w:name="_Toc157763856"/>
      <w:bookmarkStart w:id="130" w:name="_Toc184195309"/>
      <w:bookmarkStart w:id="131" w:name="_Toc193873869"/>
      <w:r w:rsidRPr="00490AEA">
        <w:t>5.3</w:t>
      </w:r>
      <w:r w:rsidRPr="00490AEA">
        <w:tab/>
        <w:t>Secondary treatment</w:t>
      </w:r>
      <w:bookmarkEnd w:id="128"/>
      <w:bookmarkEnd w:id="129"/>
      <w:bookmarkEnd w:id="130"/>
      <w:bookmarkEnd w:id="131"/>
    </w:p>
    <w:p w14:paraId="76165524" w14:textId="77777777" w:rsidR="00A368C6" w:rsidRDefault="00A368C6" w:rsidP="00A368C6">
      <w:pPr>
        <w:pStyle w:val="BodyText1"/>
      </w:pPr>
      <w:r w:rsidRPr="00430E5D">
        <w:t xml:space="preserve">Secondary treatment means treatment of urban </w:t>
      </w:r>
      <w:proofErr w:type="gramStart"/>
      <w:r w:rsidRPr="00430E5D">
        <w:t>waste water</w:t>
      </w:r>
      <w:proofErr w:type="gramEnd"/>
      <w:r w:rsidRPr="00430E5D">
        <w:t xml:space="preserve"> by a process generally involving biological treatment either with secondary settlement or another process in which the requirements in </w:t>
      </w:r>
      <w:r w:rsidRPr="00430E5D">
        <w:rPr>
          <w:color w:val="2B579A"/>
          <w:shd w:val="clear" w:color="auto" w:fill="E6E6E6"/>
        </w:rPr>
        <w:fldChar w:fldCharType="begin"/>
      </w:r>
      <w:r w:rsidRPr="00430E5D">
        <w:instrText xml:space="preserve"> REF _Ref364171448 \r \h  \* MERGEFORMAT </w:instrText>
      </w:r>
      <w:r w:rsidRPr="00430E5D">
        <w:rPr>
          <w:color w:val="2B579A"/>
          <w:shd w:val="clear" w:color="auto" w:fill="E6E6E6"/>
        </w:rPr>
      </w:r>
      <w:r w:rsidRPr="00430E5D">
        <w:rPr>
          <w:color w:val="2B579A"/>
          <w:shd w:val="clear" w:color="auto" w:fill="E6E6E6"/>
        </w:rPr>
        <w:fldChar w:fldCharType="separate"/>
      </w:r>
      <w:r w:rsidRPr="00430E5D">
        <w:t>Table 1</w:t>
      </w:r>
      <w:r w:rsidRPr="00430E5D">
        <w:rPr>
          <w:color w:val="2B579A"/>
          <w:shd w:val="clear" w:color="auto" w:fill="E6E6E6"/>
        </w:rPr>
        <w:fldChar w:fldCharType="end"/>
      </w:r>
      <w:r w:rsidRPr="00430E5D">
        <w:t xml:space="preserve"> of the UWWTR are met. This is reproduced in </w:t>
      </w:r>
      <w:r w:rsidRPr="00430E5D">
        <w:rPr>
          <w:color w:val="2B579A"/>
          <w:shd w:val="clear" w:color="auto" w:fill="E6E6E6"/>
        </w:rPr>
        <w:fldChar w:fldCharType="begin"/>
      </w:r>
      <w:r w:rsidRPr="00430E5D">
        <w:instrText xml:space="preserve"> REF _Ref364171521 \r \h  \* MERGEFORMAT </w:instrText>
      </w:r>
      <w:r w:rsidRPr="00430E5D">
        <w:rPr>
          <w:color w:val="2B579A"/>
          <w:shd w:val="clear" w:color="auto" w:fill="E6E6E6"/>
        </w:rPr>
      </w:r>
      <w:r w:rsidRPr="00430E5D">
        <w:rPr>
          <w:color w:val="2B579A"/>
          <w:shd w:val="clear" w:color="auto" w:fill="E6E6E6"/>
        </w:rPr>
        <w:fldChar w:fldCharType="separate"/>
      </w:r>
      <w:r w:rsidRPr="00430E5D">
        <w:t>Table 2</w:t>
      </w:r>
      <w:r w:rsidRPr="00430E5D">
        <w:rPr>
          <w:color w:val="2B579A"/>
          <w:shd w:val="clear" w:color="auto" w:fill="E6E6E6"/>
        </w:rPr>
        <w:fldChar w:fldCharType="end"/>
      </w:r>
      <w:r w:rsidRPr="00430E5D">
        <w:t xml:space="preserve">. </w:t>
      </w:r>
    </w:p>
    <w:p w14:paraId="51CD3E90" w14:textId="7A8A18A5" w:rsidR="00A368C6" w:rsidRDefault="00A368C6" w:rsidP="00A368C6">
      <w:pPr>
        <w:pStyle w:val="BodyText1"/>
        <w:rPr>
          <w:rStyle w:val="Hyperlink"/>
        </w:rPr>
      </w:pPr>
      <w:r w:rsidRPr="00430E5D">
        <w:t xml:space="preserve">Compliance with either the concentration or the % reduction requirements in </w:t>
      </w:r>
      <w:r w:rsidRPr="00430E5D">
        <w:rPr>
          <w:color w:val="2B579A"/>
          <w:shd w:val="clear" w:color="auto" w:fill="E6E6E6"/>
        </w:rPr>
        <w:fldChar w:fldCharType="begin"/>
      </w:r>
      <w:r w:rsidRPr="00430E5D">
        <w:instrText xml:space="preserve"> REF _Ref364171521 \r \h  \* MERGEFORMAT </w:instrText>
      </w:r>
      <w:r w:rsidRPr="00430E5D">
        <w:rPr>
          <w:color w:val="2B579A"/>
          <w:shd w:val="clear" w:color="auto" w:fill="E6E6E6"/>
        </w:rPr>
      </w:r>
      <w:r w:rsidRPr="00430E5D">
        <w:rPr>
          <w:color w:val="2B579A"/>
          <w:shd w:val="clear" w:color="auto" w:fill="E6E6E6"/>
        </w:rPr>
        <w:fldChar w:fldCharType="separate"/>
      </w:r>
      <w:r w:rsidRPr="00430E5D">
        <w:t>Table 2</w:t>
      </w:r>
      <w:r w:rsidRPr="00430E5D">
        <w:rPr>
          <w:color w:val="2B579A"/>
          <w:shd w:val="clear" w:color="auto" w:fill="E6E6E6"/>
        </w:rPr>
        <w:fldChar w:fldCharType="end"/>
      </w:r>
      <w:r w:rsidRPr="00430E5D">
        <w:t xml:space="preserve"> would mean the discharge is compliant with UWWTR. Refer to </w:t>
      </w:r>
      <w:r w:rsidRPr="00764B23">
        <w:t>WAT-RM-40: Assessment of Numeric Discharge Quality Conditions.</w:t>
      </w:r>
    </w:p>
    <w:p w14:paraId="49E5F726" w14:textId="77777777" w:rsidR="00A368C6" w:rsidRPr="00DB5F6A" w:rsidRDefault="00A368C6" w:rsidP="00A368C6">
      <w:pPr>
        <w:pStyle w:val="BodyText1"/>
        <w:rPr>
          <w:b/>
          <w:bCs/>
        </w:rPr>
      </w:pPr>
      <w:bookmarkStart w:id="132" w:name="_Ref364171521"/>
      <w:r w:rsidRPr="00DB5F6A">
        <w:rPr>
          <w:b/>
          <w:bCs/>
        </w:rPr>
        <w:t>Table 2</w:t>
      </w:r>
      <w:r>
        <w:rPr>
          <w:b/>
          <w:bCs/>
        </w:rPr>
        <w:t>:</w:t>
      </w:r>
      <w:r w:rsidRPr="00DB5F6A">
        <w:rPr>
          <w:b/>
          <w:bCs/>
        </w:rPr>
        <w:t xml:space="preserve"> </w:t>
      </w:r>
      <w:r>
        <w:rPr>
          <w:b/>
          <w:bCs/>
        </w:rPr>
        <w:t>Minimum</w:t>
      </w:r>
      <w:r w:rsidRPr="00DB5F6A">
        <w:rPr>
          <w:b/>
          <w:bCs/>
        </w:rPr>
        <w:t xml:space="preserve"> Concentration Value or % Reduction</w:t>
      </w:r>
      <w:bookmarkEnd w:id="132"/>
    </w:p>
    <w:tbl>
      <w:tblPr>
        <w:tblW w:w="3750" w:type="pct"/>
        <w:tblCellMar>
          <w:left w:w="0" w:type="dxa"/>
          <w:right w:w="0" w:type="dxa"/>
        </w:tblCellMar>
        <w:tblLook w:val="04A0" w:firstRow="1" w:lastRow="0" w:firstColumn="1" w:lastColumn="0" w:noHBand="0" w:noVBand="1"/>
        <w:tblCaption w:val="Table 2: Minimum concentration value or % reduction"/>
        <w:tblDescription w:val="This table shows for  BOD and COD the:&#10;Concentration.&#10;Minimum % reduction. "/>
      </w:tblPr>
      <w:tblGrid>
        <w:gridCol w:w="2471"/>
        <w:gridCol w:w="2471"/>
        <w:gridCol w:w="2710"/>
      </w:tblGrid>
      <w:tr w:rsidR="00A368C6" w:rsidRPr="00684F5A" w14:paraId="43CDFA4C" w14:textId="77777777" w:rsidTr="005A5680">
        <w:trPr>
          <w:trHeight w:val="610"/>
          <w:tblHeader/>
        </w:trPr>
        <w:tc>
          <w:tcPr>
            <w:tcW w:w="161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64748AB"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Parameter</w:t>
            </w:r>
          </w:p>
        </w:tc>
        <w:tc>
          <w:tcPr>
            <w:tcW w:w="1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7BB961F"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Concentration</w:t>
            </w:r>
          </w:p>
        </w:tc>
        <w:tc>
          <w:tcPr>
            <w:tcW w:w="17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27B007A"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Minimum % reduction</w:t>
            </w:r>
          </w:p>
        </w:tc>
      </w:tr>
      <w:tr w:rsidR="00A368C6" w:rsidRPr="00684F5A" w14:paraId="152E1D4D" w14:textId="77777777" w:rsidTr="005A5680">
        <w:trPr>
          <w:trHeight w:val="315"/>
        </w:trPr>
        <w:tc>
          <w:tcPr>
            <w:tcW w:w="16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008155F"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BOD</w:t>
            </w:r>
          </w:p>
        </w:tc>
        <w:tc>
          <w:tcPr>
            <w:tcW w:w="16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128AD3C"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25mg/l</w:t>
            </w:r>
          </w:p>
        </w:tc>
        <w:tc>
          <w:tcPr>
            <w:tcW w:w="17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08ABAD3"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70%</w:t>
            </w:r>
          </w:p>
        </w:tc>
      </w:tr>
      <w:tr w:rsidR="00A368C6" w:rsidRPr="00684F5A" w14:paraId="562F5B96" w14:textId="77777777" w:rsidTr="005A5680">
        <w:trPr>
          <w:trHeight w:val="300"/>
        </w:trPr>
        <w:tc>
          <w:tcPr>
            <w:tcW w:w="16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526D523"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COD</w:t>
            </w:r>
          </w:p>
        </w:tc>
        <w:tc>
          <w:tcPr>
            <w:tcW w:w="161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DCB621A"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125 mg/l</w:t>
            </w:r>
          </w:p>
        </w:tc>
        <w:tc>
          <w:tcPr>
            <w:tcW w:w="177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E7F56BC"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75%</w:t>
            </w:r>
          </w:p>
        </w:tc>
      </w:tr>
    </w:tbl>
    <w:p w14:paraId="71D97BE8" w14:textId="77777777" w:rsidR="00A368C6" w:rsidRDefault="00A368C6" w:rsidP="00A368C6">
      <w:pPr>
        <w:pStyle w:val="BodyText"/>
      </w:pPr>
    </w:p>
    <w:p w14:paraId="3F735B22" w14:textId="77777777" w:rsidR="00A368C6" w:rsidRPr="00430E5D" w:rsidRDefault="00A368C6" w:rsidP="00780C20">
      <w:pPr>
        <w:pStyle w:val="BodyText1"/>
      </w:pPr>
      <w:r w:rsidRPr="000477CC">
        <w:t xml:space="preserve">Further detail is provided in </w:t>
      </w:r>
      <w:hyperlink r:id="rId17" w:history="1">
        <w:r w:rsidRPr="000477CC">
          <w:rPr>
            <w:rStyle w:val="Hyperlink"/>
          </w:rPr>
          <w:t>The Urban Waste Water Treatment (Scotland) Regulations 1994</w:t>
        </w:r>
      </w:hyperlink>
      <w:r w:rsidRPr="000477CC">
        <w:t xml:space="preserve"> and UWWTR Guidance Note.</w:t>
      </w:r>
      <w:r w:rsidRPr="006814E3">
        <w:rPr>
          <w:color w:val="FF0000"/>
        </w:rPr>
        <w:t xml:space="preserve"> </w:t>
      </w:r>
    </w:p>
    <w:p w14:paraId="477BF7E6" w14:textId="77777777" w:rsidR="00A368C6" w:rsidRDefault="00A368C6" w:rsidP="00780C20">
      <w:pPr>
        <w:pStyle w:val="BodyText1"/>
      </w:pPr>
      <w:r w:rsidRPr="009F585F">
        <w:t>In addition, analysis of discharges from lagoons shall be carried out on filtered samples, and the concentration of total suspended solids in unfiltered water samples shall not exceed 150mg/l.</w:t>
      </w:r>
    </w:p>
    <w:p w14:paraId="79E21681" w14:textId="77777777" w:rsidR="00A368C6" w:rsidRPr="00490AEA" w:rsidRDefault="00A368C6" w:rsidP="00A368C6">
      <w:pPr>
        <w:pStyle w:val="Heading2"/>
      </w:pPr>
      <w:bookmarkStart w:id="133" w:name="_Toc364167826"/>
      <w:bookmarkStart w:id="134" w:name="_Toc157763857"/>
      <w:bookmarkStart w:id="135" w:name="_Toc184195310"/>
      <w:bookmarkStart w:id="136" w:name="_Toc193873870"/>
      <w:r w:rsidRPr="00490AEA">
        <w:t>5.4</w:t>
      </w:r>
      <w:r w:rsidRPr="00490AEA">
        <w:tab/>
        <w:t>Nutrient limitation conditions</w:t>
      </w:r>
      <w:bookmarkEnd w:id="133"/>
      <w:bookmarkEnd w:id="134"/>
      <w:bookmarkEnd w:id="135"/>
      <w:bookmarkEnd w:id="136"/>
    </w:p>
    <w:p w14:paraId="71865EE7" w14:textId="61BD7B21" w:rsidR="00A368C6" w:rsidRDefault="00A368C6" w:rsidP="00A368C6">
      <w:pPr>
        <w:pStyle w:val="BodyText1"/>
      </w:pPr>
      <w:r w:rsidRPr="4C0A2F4A">
        <w:t xml:space="preserve">Nutrient limitation conditions </w:t>
      </w:r>
      <w:r w:rsidR="00357575">
        <w:t>will</w:t>
      </w:r>
      <w:r w:rsidRPr="4C0A2F4A">
        <w:t xml:space="preserve"> be used where the receiving waters are designated as “sensitive” under the UWWTD </w:t>
      </w:r>
      <w:r w:rsidRPr="001B6BF4">
        <w:t xml:space="preserve">or </w:t>
      </w:r>
      <w:r w:rsidRPr="003D7862">
        <w:t xml:space="preserve">where this is required to meet environmental standards </w:t>
      </w:r>
      <w:r w:rsidRPr="6C527910">
        <w:t xml:space="preserve">and nutrient stripping has been identified as an investment driver for the works in question (Refer to section </w:t>
      </w:r>
      <w:r w:rsidRPr="00430E5D">
        <w:rPr>
          <w:color w:val="2B579A"/>
          <w:shd w:val="clear" w:color="auto" w:fill="E6E6E6"/>
        </w:rPr>
        <w:fldChar w:fldCharType="begin"/>
      </w:r>
      <w:r w:rsidRPr="00430E5D">
        <w:instrText xml:space="preserve"> REF _Ref364170776 \r \h  \* MERGEFORMAT </w:instrText>
      </w:r>
      <w:r w:rsidRPr="00430E5D">
        <w:rPr>
          <w:color w:val="2B579A"/>
          <w:shd w:val="clear" w:color="auto" w:fill="E6E6E6"/>
        </w:rPr>
      </w:r>
      <w:r w:rsidRPr="00430E5D">
        <w:rPr>
          <w:color w:val="2B579A"/>
          <w:shd w:val="clear" w:color="auto" w:fill="E6E6E6"/>
        </w:rPr>
        <w:fldChar w:fldCharType="separate"/>
      </w:r>
      <w:r w:rsidRPr="6C527910">
        <w:t>6</w:t>
      </w:r>
      <w:r w:rsidRPr="00430E5D">
        <w:rPr>
          <w:color w:val="2B579A"/>
          <w:shd w:val="clear" w:color="auto" w:fill="E6E6E6"/>
        </w:rPr>
        <w:fldChar w:fldCharType="end"/>
      </w:r>
      <w:r w:rsidRPr="00430E5D">
        <w:t>).</w:t>
      </w:r>
    </w:p>
    <w:p w14:paraId="4AF3B07D" w14:textId="77777777" w:rsidR="00A368C6" w:rsidRPr="006F3975" w:rsidRDefault="00A368C6" w:rsidP="00A368C6">
      <w:pPr>
        <w:pStyle w:val="Heading2"/>
      </w:pPr>
      <w:bookmarkStart w:id="137" w:name="_Toc364167827"/>
      <w:bookmarkStart w:id="138" w:name="_Ref364171409"/>
      <w:bookmarkStart w:id="139" w:name="_Toc157763858"/>
      <w:bookmarkStart w:id="140" w:name="_Toc184195311"/>
      <w:bookmarkStart w:id="141" w:name="_Toc193873871"/>
      <w:r w:rsidRPr="006F3975">
        <w:lastRenderedPageBreak/>
        <w:t>5.5</w:t>
      </w:r>
      <w:r w:rsidRPr="006F3975">
        <w:tab/>
        <w:t xml:space="preserve">Discharge </w:t>
      </w:r>
      <w:r>
        <w:t>q</w:t>
      </w:r>
      <w:r w:rsidRPr="006F3975">
        <w:t xml:space="preserve">uality </w:t>
      </w:r>
      <w:r>
        <w:t>s</w:t>
      </w:r>
      <w:r w:rsidRPr="006F3975">
        <w:t xml:space="preserve">tandard </w:t>
      </w:r>
      <w:r>
        <w:t>c</w:t>
      </w:r>
      <w:r w:rsidRPr="006F3975">
        <w:t>onditions</w:t>
      </w:r>
      <w:bookmarkEnd w:id="137"/>
      <w:bookmarkEnd w:id="138"/>
      <w:bookmarkEnd w:id="139"/>
      <w:bookmarkEnd w:id="140"/>
      <w:bookmarkEnd w:id="141"/>
    </w:p>
    <w:p w14:paraId="01C68CE5" w14:textId="7FCA6DA8" w:rsidR="00A368C6" w:rsidRPr="001A3E7F" w:rsidRDefault="00A368C6" w:rsidP="00A368C6">
      <w:pPr>
        <w:pStyle w:val="BodyText1"/>
      </w:pPr>
      <w:bookmarkStart w:id="142" w:name="_Toc364167828"/>
      <w:r w:rsidRPr="001A3E7F">
        <w:t xml:space="preserve">If secondary treatment is required for a sampled discharge with reasonable watercourse dilution, modelling may produce a relaxed BOD lower tier standard such as 90mg/l. However, a </w:t>
      </w:r>
      <w:proofErr w:type="gramStart"/>
      <w:r w:rsidRPr="001A3E7F">
        <w:t>two tier</w:t>
      </w:r>
      <w:proofErr w:type="gramEnd"/>
      <w:r w:rsidRPr="001A3E7F">
        <w:t xml:space="preserve"> BOD standard no more relaxed than 40/80mg/l </w:t>
      </w:r>
      <w:r w:rsidR="00ED3D45">
        <w:t>will</w:t>
      </w:r>
      <w:r w:rsidRPr="001A3E7F">
        <w:t xml:space="preserve"> be used in the </w:t>
      </w:r>
      <w:r w:rsidR="000033B0">
        <w:t>permit</w:t>
      </w:r>
      <w:r w:rsidRPr="001A3E7F">
        <w:t>.</w:t>
      </w:r>
    </w:p>
    <w:p w14:paraId="3917ECBB" w14:textId="77777777" w:rsidR="00A368C6" w:rsidRPr="00791EDF" w:rsidRDefault="00A368C6" w:rsidP="00A368C6">
      <w:pPr>
        <w:pStyle w:val="BodyText1"/>
      </w:pPr>
      <w:r w:rsidRPr="001A3E7F">
        <w:t xml:space="preserve">If secondary treatment is required and modelling requires a </w:t>
      </w:r>
      <w:r w:rsidRPr="00C97571">
        <w:t>lower tier ammonia limit of more than 50mg/l</w:t>
      </w:r>
      <w:r w:rsidRPr="00791EDF">
        <w:t xml:space="preserve"> then there is no need to insert an ammonia limit in the authorisation. </w:t>
      </w:r>
    </w:p>
    <w:p w14:paraId="65E19CF9" w14:textId="77777777" w:rsidR="00A368C6" w:rsidRPr="001A3E7F" w:rsidRDefault="00A368C6" w:rsidP="00A368C6">
      <w:pPr>
        <w:pStyle w:val="BodyText1"/>
      </w:pPr>
      <w:r w:rsidRPr="00791EDF">
        <w:t xml:space="preserve">If secondary treatment is required and modelling requires a </w:t>
      </w:r>
      <w:r w:rsidRPr="00C97571">
        <w:t>lower tier reactive phosphorus (RP) limit of more than 10mg/l</w:t>
      </w:r>
      <w:r w:rsidRPr="00791EDF">
        <w:t xml:space="preserve"> then there is no need to insert an RP limit</w:t>
      </w:r>
      <w:r w:rsidRPr="001A3E7F">
        <w:t xml:space="preserve"> in the authorisation. </w:t>
      </w:r>
    </w:p>
    <w:p w14:paraId="1B4FE18A" w14:textId="77777777" w:rsidR="00A368C6" w:rsidRPr="006F3975" w:rsidRDefault="00A368C6" w:rsidP="00A368C6">
      <w:pPr>
        <w:pStyle w:val="Heading3"/>
      </w:pPr>
      <w:bookmarkStart w:id="143" w:name="_Toc184195312"/>
      <w:bookmarkStart w:id="144" w:name="_Toc193873872"/>
      <w:r w:rsidRPr="006F3975">
        <w:t>5.5.1</w:t>
      </w:r>
      <w:r w:rsidRPr="006F3975">
        <w:tab/>
        <w:t xml:space="preserve">Use of </w:t>
      </w:r>
      <w:r>
        <w:t>i</w:t>
      </w:r>
      <w:r w:rsidRPr="006F3975">
        <w:t>nstantaneous (</w:t>
      </w:r>
      <w:r>
        <w:t>s</w:t>
      </w:r>
      <w:r w:rsidRPr="006F3975">
        <w:t xml:space="preserve">pot) and </w:t>
      </w:r>
      <w:r>
        <w:t>c</w:t>
      </w:r>
      <w:r w:rsidRPr="006F3975">
        <w:t xml:space="preserve">omposite </w:t>
      </w:r>
      <w:bookmarkEnd w:id="142"/>
      <w:r>
        <w:t>conditions</w:t>
      </w:r>
      <w:bookmarkEnd w:id="143"/>
      <w:bookmarkEnd w:id="144"/>
    </w:p>
    <w:p w14:paraId="628C1FE1" w14:textId="70B7E190" w:rsidR="00A368C6" w:rsidRPr="00C27063" w:rsidRDefault="00A368C6" w:rsidP="00A368C6">
      <w:pPr>
        <w:pStyle w:val="BodyText1"/>
      </w:pPr>
      <w:r w:rsidRPr="00C27063">
        <w:t xml:space="preserve">Instantaneous or composite conditions must be included in the </w:t>
      </w:r>
      <w:r w:rsidR="000033B0">
        <w:t>permit</w:t>
      </w:r>
      <w:r w:rsidRPr="00C27063">
        <w:t xml:space="preserve"> schedules as appropriate, e.g. spot standards for protecting an EQS, composite for implementing the UWWT Regulations and/or composite standards where the concern is </w:t>
      </w:r>
      <w:proofErr w:type="gramStart"/>
      <w:r w:rsidRPr="00C27063">
        <w:t>discharge</w:t>
      </w:r>
      <w:proofErr w:type="gramEnd"/>
      <w:r w:rsidRPr="00C27063">
        <w:t xml:space="preserve"> loadings, e.g. to an estuary or freshwater loch, rather than peak concentrations. Where composite conditions are used, an instantaneous </w:t>
      </w:r>
      <w:proofErr w:type="gramStart"/>
      <w:r w:rsidRPr="00C27063">
        <w:t>upper-tier</w:t>
      </w:r>
      <w:proofErr w:type="gramEnd"/>
      <w:r w:rsidRPr="00C27063">
        <w:t xml:space="preserve"> for BOD and suspended solids </w:t>
      </w:r>
      <w:r w:rsidR="00ED3D45">
        <w:t>will</w:t>
      </w:r>
      <w:r w:rsidRPr="00C27063">
        <w:t xml:space="preserve"> be included in the </w:t>
      </w:r>
      <w:r w:rsidR="000033B0">
        <w:t>permit</w:t>
      </w:r>
      <w:r w:rsidRPr="00C27063">
        <w:t xml:space="preserve"> to enable immediate enforcement of serious breaches of the </w:t>
      </w:r>
      <w:r w:rsidR="000033B0">
        <w:t>permit</w:t>
      </w:r>
      <w:r w:rsidRPr="00C27063">
        <w:t xml:space="preserve">. Where other parameters (e.g. ammonia, metals) are limited by composite conditions, an instantaneous limit set at 1.5 times the composite upper tier </w:t>
      </w:r>
      <w:r w:rsidR="00ED3D45">
        <w:t>will</w:t>
      </w:r>
      <w:r w:rsidRPr="00C27063">
        <w:t xml:space="preserve"> be used.</w:t>
      </w:r>
    </w:p>
    <w:p w14:paraId="34AFF625" w14:textId="77777777" w:rsidR="00A368C6" w:rsidRPr="00430E5D" w:rsidRDefault="00A368C6" w:rsidP="00A368C6">
      <w:pPr>
        <w:pStyle w:val="BodyText1"/>
      </w:pPr>
      <w:r w:rsidRPr="00C27063">
        <w:t>The</w:t>
      </w:r>
      <w:r w:rsidRPr="00430E5D">
        <w:t xml:space="preserve"> UWWTR requires composite sampling for monitoring compliance with the Directive’s standards. </w:t>
      </w:r>
    </w:p>
    <w:p w14:paraId="5D82C97F" w14:textId="77777777" w:rsidR="00A368C6" w:rsidRPr="00430E5D" w:rsidRDefault="00A368C6" w:rsidP="00A368C6">
      <w:pPr>
        <w:pStyle w:val="BodyText1"/>
      </w:pPr>
      <w:r w:rsidRPr="00430E5D">
        <w:t xml:space="preserve">Composite sampling for UWWTR compliance applies for discharges to coastal waters &gt;10,000 </w:t>
      </w:r>
      <w:proofErr w:type="spellStart"/>
      <w:r>
        <w:t>p.e</w:t>
      </w:r>
      <w:proofErr w:type="spellEnd"/>
      <w:r w:rsidRPr="00430E5D">
        <w:t xml:space="preserve"> and discharges to freshwaters and estuaries which are &gt;2,000 </w:t>
      </w:r>
      <w:proofErr w:type="spellStart"/>
      <w:r>
        <w:t>p.e</w:t>
      </w:r>
      <w:r w:rsidRPr="00430E5D">
        <w:t>.</w:t>
      </w:r>
      <w:proofErr w:type="spellEnd"/>
      <w:r w:rsidRPr="00430E5D">
        <w:t xml:space="preserve"> </w:t>
      </w:r>
    </w:p>
    <w:p w14:paraId="7D790817" w14:textId="6EEE4ECC" w:rsidR="00A368C6" w:rsidRPr="002D7C3E" w:rsidRDefault="00A368C6" w:rsidP="00A368C6">
      <w:pPr>
        <w:pStyle w:val="BodyText1"/>
      </w:pPr>
      <w:r w:rsidRPr="002D7C3E">
        <w:t xml:space="preserve">The UWWTR allows for compliance with either the concentration standards or the % reduction requirements. Concentration standards </w:t>
      </w:r>
      <w:r w:rsidR="00ED3D45">
        <w:t>will</w:t>
      </w:r>
      <w:r w:rsidRPr="002D7C3E">
        <w:t xml:space="preserve"> be included in all UWWTR </w:t>
      </w:r>
      <w:r w:rsidR="000033B0">
        <w:t>permits</w:t>
      </w:r>
      <w:r w:rsidRPr="002D7C3E">
        <w:t xml:space="preserve"> but it is at the discretion of the operator to determine if they require % reduction standards to be included.  The requirements </w:t>
      </w:r>
      <w:r w:rsidR="00720839">
        <w:t>will</w:t>
      </w:r>
      <w:r w:rsidRPr="002D7C3E">
        <w:t xml:space="preserve"> be specified in the </w:t>
      </w:r>
      <w:r w:rsidR="000033B0">
        <w:t>permit</w:t>
      </w:r>
      <w:r w:rsidRPr="002D7C3E">
        <w:t>.</w:t>
      </w:r>
    </w:p>
    <w:p w14:paraId="27385D55" w14:textId="77777777" w:rsidR="00A368C6" w:rsidRPr="002D7C3E" w:rsidRDefault="00A368C6" w:rsidP="00A368C6">
      <w:pPr>
        <w:pStyle w:val="BodyText1"/>
      </w:pPr>
      <w:r w:rsidRPr="002D7C3E">
        <w:t xml:space="preserve">Guidance on the type of sampling required is provided in below, with a summary provided in </w:t>
      </w:r>
      <w:r w:rsidRPr="002D7C3E">
        <w:rPr>
          <w:color w:val="2B579A"/>
          <w:shd w:val="clear" w:color="auto" w:fill="E6E6E6"/>
        </w:rPr>
        <w:fldChar w:fldCharType="begin"/>
      </w:r>
      <w:r w:rsidRPr="002D7C3E">
        <w:instrText xml:space="preserve"> REF _Ref364170805 \r \h  \* MERGEFORMAT </w:instrText>
      </w:r>
      <w:r w:rsidRPr="002D7C3E">
        <w:rPr>
          <w:color w:val="2B579A"/>
          <w:shd w:val="clear" w:color="auto" w:fill="E6E6E6"/>
        </w:rPr>
      </w:r>
      <w:r w:rsidRPr="002D7C3E">
        <w:rPr>
          <w:color w:val="2B579A"/>
          <w:shd w:val="clear" w:color="auto" w:fill="E6E6E6"/>
        </w:rPr>
        <w:fldChar w:fldCharType="separate"/>
      </w:r>
      <w:r w:rsidRPr="002D7C3E">
        <w:t>Table 3</w:t>
      </w:r>
      <w:r w:rsidRPr="002D7C3E">
        <w:rPr>
          <w:color w:val="2B579A"/>
          <w:shd w:val="clear" w:color="auto" w:fill="E6E6E6"/>
        </w:rPr>
        <w:fldChar w:fldCharType="end"/>
      </w:r>
      <w:r w:rsidRPr="002D7C3E">
        <w:t>.</w:t>
      </w:r>
    </w:p>
    <w:p w14:paraId="38614CD6" w14:textId="77777777" w:rsidR="00A368C6" w:rsidRPr="00490AEA" w:rsidRDefault="00A368C6" w:rsidP="00A368C6">
      <w:pPr>
        <w:pStyle w:val="Heading4"/>
      </w:pPr>
      <w:bookmarkStart w:id="145" w:name="_Toc364167829"/>
      <w:r w:rsidRPr="00490AEA">
        <w:lastRenderedPageBreak/>
        <w:t xml:space="preserve">Discharges to coastal waters and estuaries &gt;10,000 </w:t>
      </w:r>
      <w:proofErr w:type="spellStart"/>
      <w:r w:rsidRPr="00490AEA">
        <w:t>p.e.</w:t>
      </w:r>
      <w:proofErr w:type="spellEnd"/>
      <w:r w:rsidRPr="00490AEA">
        <w:t xml:space="preserve"> and discharges to freshwater lochs &gt;2,000 </w:t>
      </w:r>
      <w:proofErr w:type="spellStart"/>
      <w:r w:rsidRPr="00490AEA">
        <w:t>p.e.</w:t>
      </w:r>
      <w:bookmarkEnd w:id="145"/>
      <w:proofErr w:type="spellEnd"/>
    </w:p>
    <w:p w14:paraId="07CD881C" w14:textId="16269A20" w:rsidR="00A368C6" w:rsidRPr="000A1F06" w:rsidRDefault="00A368C6" w:rsidP="00A368C6">
      <w:pPr>
        <w:pStyle w:val="BodyText1"/>
      </w:pPr>
      <w:r w:rsidRPr="000A1F06">
        <w:t xml:space="preserve">Composite samples are required by </w:t>
      </w:r>
      <w:proofErr w:type="gramStart"/>
      <w:r w:rsidRPr="000A1F06">
        <w:t>UWWTR</w:t>
      </w:r>
      <w:proofErr w:type="gramEnd"/>
      <w:r w:rsidRPr="000A1F06">
        <w:t xml:space="preserve"> and composite samples </w:t>
      </w:r>
      <w:r w:rsidR="00720839">
        <w:t>will</w:t>
      </w:r>
      <w:r w:rsidRPr="000A1F06">
        <w:t xml:space="preserve"> be included in the UWWTR schedule. Composite standards are also required for </w:t>
      </w:r>
      <w:r w:rsidR="001F6FAB">
        <w:t>EASR</w:t>
      </w:r>
      <w:r w:rsidR="00716D86">
        <w:t xml:space="preserve"> </w:t>
      </w:r>
      <w:r w:rsidRPr="000A1F06">
        <w:t xml:space="preserve">as discharge loading is the main concern. However, composite standards for BOD, COD (or nutrients where required by UWWTR) </w:t>
      </w:r>
      <w:r w:rsidR="00720839">
        <w:t>will</w:t>
      </w:r>
      <w:r w:rsidRPr="000A1F06">
        <w:t xml:space="preserve"> not be included in the </w:t>
      </w:r>
      <w:r w:rsidR="001F6FAB">
        <w:t xml:space="preserve">EASR </w:t>
      </w:r>
      <w:r w:rsidRPr="000A1F06">
        <w:t xml:space="preserve">schedule unless the lower-tier standard is more stringent than that required by UWWTR (e.g. </w:t>
      </w:r>
      <w:r w:rsidR="00716D86">
        <w:t xml:space="preserve">EASR </w:t>
      </w:r>
      <w:r w:rsidRPr="000A1F06">
        <w:t xml:space="preserve">BOD lower tier &lt;25 mg/l). The upper tier standards in the </w:t>
      </w:r>
      <w:r w:rsidR="00716D86">
        <w:t xml:space="preserve">EASR </w:t>
      </w:r>
      <w:r w:rsidRPr="000A1F06">
        <w:t xml:space="preserve">schedule </w:t>
      </w:r>
      <w:r w:rsidR="00720839">
        <w:t>will</w:t>
      </w:r>
      <w:r w:rsidRPr="000A1F06">
        <w:t xml:space="preserve"> not be more relaxed than the UWWTR requirements (e.g. BOD upper tier </w:t>
      </w:r>
      <w:r w:rsidR="00720839">
        <w:t>will</w:t>
      </w:r>
      <w:r w:rsidRPr="000A1F06">
        <w:t xml:space="preserve"> be a maximum of 50 mg/l).</w:t>
      </w:r>
    </w:p>
    <w:p w14:paraId="72EB4FE5" w14:textId="233BFFD7" w:rsidR="00A368C6" w:rsidRPr="000A1F06" w:rsidRDefault="00A368C6" w:rsidP="00A368C6">
      <w:pPr>
        <w:pStyle w:val="BodyText1"/>
      </w:pPr>
      <w:r w:rsidRPr="000A1F06">
        <w:t xml:space="preserve">Instantaneous upper-tier standards for TSS and BOD </w:t>
      </w:r>
      <w:r w:rsidR="00510A83">
        <w:t>will</w:t>
      </w:r>
      <w:r w:rsidRPr="000A1F06">
        <w:t xml:space="preserve"> be included for enforcement purposes, but not routinely monitored.</w:t>
      </w:r>
    </w:p>
    <w:p w14:paraId="4864E719" w14:textId="77777777" w:rsidR="00A368C6" w:rsidRPr="000A1F06" w:rsidRDefault="00A368C6" w:rsidP="00A368C6">
      <w:pPr>
        <w:pStyle w:val="BodyText1"/>
      </w:pPr>
      <w:r w:rsidRPr="000A1F06">
        <w:t xml:space="preserve">Routine monitoring </w:t>
      </w:r>
      <w:r w:rsidRPr="00C97571">
        <w:t>by taking</w:t>
      </w:r>
      <w:r w:rsidRPr="000A1F06">
        <w:t xml:space="preserve"> composite samples for BOD, COD, nutrients (if required), any other required </w:t>
      </w:r>
      <w:proofErr w:type="spellStart"/>
      <w:r w:rsidRPr="000A1F06">
        <w:t>determinands</w:t>
      </w:r>
      <w:proofErr w:type="spellEnd"/>
      <w:r w:rsidRPr="000A1F06">
        <w:t xml:space="preserve"> set to protect receiving water and UWWTR percentage reduction </w:t>
      </w:r>
      <w:r w:rsidRPr="00C97571">
        <w:t>is required</w:t>
      </w:r>
      <w:r w:rsidRPr="000A1F06">
        <w:t>.</w:t>
      </w:r>
    </w:p>
    <w:p w14:paraId="62027AEE" w14:textId="77777777" w:rsidR="00A368C6" w:rsidRPr="0012771C" w:rsidRDefault="00A368C6" w:rsidP="00A368C6">
      <w:pPr>
        <w:pStyle w:val="BodyText1"/>
      </w:pPr>
      <w:r w:rsidRPr="00C97571">
        <w:t>For</w:t>
      </w:r>
      <w:r w:rsidRPr="000A1F06">
        <w:t xml:space="preserve"> enforcement </w:t>
      </w:r>
      <w:r w:rsidRPr="00C97571">
        <w:t xml:space="preserve">purposes SEPA may take </w:t>
      </w:r>
      <w:r w:rsidRPr="000A1F06">
        <w:t>instantaneous samples for BOD and TSS</w:t>
      </w:r>
      <w:r w:rsidRPr="0012771C">
        <w:t>.</w:t>
      </w:r>
    </w:p>
    <w:p w14:paraId="1432D5EE" w14:textId="77777777" w:rsidR="00A368C6" w:rsidRPr="00741CFD" w:rsidRDefault="00A368C6" w:rsidP="00A368C6">
      <w:pPr>
        <w:pStyle w:val="BodyText1"/>
        <w:rPr>
          <w:b/>
        </w:rPr>
      </w:pPr>
      <w:bookmarkStart w:id="146" w:name="_Toc364167830"/>
      <w:r w:rsidRPr="00741CFD">
        <w:rPr>
          <w:b/>
        </w:rPr>
        <w:t xml:space="preserve">Discharges to rivers &gt;10,000 </w:t>
      </w:r>
      <w:proofErr w:type="spellStart"/>
      <w:r w:rsidRPr="00741CFD">
        <w:rPr>
          <w:b/>
        </w:rPr>
        <w:t>p.e.</w:t>
      </w:r>
      <w:bookmarkEnd w:id="146"/>
      <w:proofErr w:type="spellEnd"/>
    </w:p>
    <w:p w14:paraId="7D45BA4A" w14:textId="1F5F0C89" w:rsidR="00A368C6" w:rsidRPr="002D7C3E" w:rsidRDefault="00A368C6" w:rsidP="00A368C6">
      <w:pPr>
        <w:pStyle w:val="BodyText1"/>
      </w:pPr>
      <w:r w:rsidRPr="002D7C3E">
        <w:t xml:space="preserve">Composite samples are required by </w:t>
      </w:r>
      <w:proofErr w:type="gramStart"/>
      <w:r w:rsidRPr="002D7C3E">
        <w:t>UWWTR</w:t>
      </w:r>
      <w:proofErr w:type="gramEnd"/>
      <w:r w:rsidRPr="002D7C3E">
        <w:t xml:space="preserve"> and composite samples </w:t>
      </w:r>
      <w:r w:rsidR="00510A83">
        <w:t>will</w:t>
      </w:r>
      <w:r w:rsidRPr="002D7C3E">
        <w:t xml:space="preserve"> be included in the UWWTR schedule. However, instantaneous standards are required for </w:t>
      </w:r>
      <w:r w:rsidR="00716D86">
        <w:t xml:space="preserve">EASR </w:t>
      </w:r>
      <w:r w:rsidRPr="002D7C3E">
        <w:t>as peak concentration and compliance with the EQS is the main concern for rivers.</w:t>
      </w:r>
    </w:p>
    <w:p w14:paraId="770896E0" w14:textId="4956B6EF" w:rsidR="00A368C6" w:rsidRPr="002D7C3E" w:rsidRDefault="00A368C6" w:rsidP="00A368C6">
      <w:pPr>
        <w:pStyle w:val="BodyText1"/>
      </w:pPr>
      <w:r w:rsidRPr="002D7C3E">
        <w:t xml:space="preserve">Instantaneous two-tier standards </w:t>
      </w:r>
      <w:r w:rsidR="00510A83">
        <w:t>will</w:t>
      </w:r>
      <w:r w:rsidRPr="002D7C3E">
        <w:t xml:space="preserve"> be calculated to protect receiving water and </w:t>
      </w:r>
      <w:r w:rsidR="00510A83">
        <w:t>will</w:t>
      </w:r>
      <w:r w:rsidRPr="002D7C3E">
        <w:t xml:space="preserve"> be included in the </w:t>
      </w:r>
      <w:r w:rsidR="00716D86">
        <w:t xml:space="preserve">EASR </w:t>
      </w:r>
      <w:r w:rsidRPr="002D7C3E">
        <w:t>schedule</w:t>
      </w:r>
      <w:r>
        <w:t>.</w:t>
      </w:r>
      <w:r w:rsidRPr="002D7C3E">
        <w:t xml:space="preserve"> </w:t>
      </w:r>
      <w:r>
        <w:t>T</w:t>
      </w:r>
      <w:r w:rsidRPr="002D7C3E">
        <w:t>his will include instantaneous BOD standards as those specified in the UWWTR schedule will be for composite samples.</w:t>
      </w:r>
    </w:p>
    <w:p w14:paraId="1F910218" w14:textId="19466AA3" w:rsidR="00A368C6" w:rsidRPr="002D7C3E" w:rsidRDefault="00A368C6" w:rsidP="00A368C6">
      <w:pPr>
        <w:pStyle w:val="BodyText1"/>
      </w:pPr>
      <w:r w:rsidRPr="002D7C3E">
        <w:t xml:space="preserve">Instantaneous upper-tier 100 mg/l TSS </w:t>
      </w:r>
      <w:r w:rsidR="00510A83">
        <w:t>will</w:t>
      </w:r>
      <w:r w:rsidRPr="002D7C3E">
        <w:t xml:space="preserve"> be included within the </w:t>
      </w:r>
      <w:r w:rsidR="00716D86">
        <w:t xml:space="preserve">EASR </w:t>
      </w:r>
      <w:r w:rsidRPr="002D7C3E">
        <w:t>schedule and included within routine monitoring and compliance assessment.</w:t>
      </w:r>
    </w:p>
    <w:p w14:paraId="190A09CB" w14:textId="77777777" w:rsidR="00A368C6" w:rsidRPr="008B13D7" w:rsidRDefault="00A368C6" w:rsidP="00A368C6">
      <w:pPr>
        <w:pStyle w:val="BodyText1"/>
      </w:pPr>
      <w:r w:rsidRPr="008B13D7">
        <w:t xml:space="preserve">Routine monitoring </w:t>
      </w:r>
      <w:r w:rsidRPr="00C97571">
        <w:t>by taking</w:t>
      </w:r>
      <w:r w:rsidRPr="008B13D7">
        <w:t xml:space="preserve"> composite samples for COD, BOD and nutrients (if required) and UWWTR percentage reduction (optional) </w:t>
      </w:r>
      <w:r w:rsidRPr="00C97571">
        <w:t>is required</w:t>
      </w:r>
      <w:r w:rsidRPr="008B13D7">
        <w:t>.</w:t>
      </w:r>
    </w:p>
    <w:p w14:paraId="312677A1" w14:textId="77777777" w:rsidR="00A368C6" w:rsidRPr="008B13D7" w:rsidRDefault="00A368C6" w:rsidP="00A368C6">
      <w:pPr>
        <w:pStyle w:val="BodyText1"/>
      </w:pPr>
      <w:r w:rsidRPr="008B13D7">
        <w:lastRenderedPageBreak/>
        <w:t xml:space="preserve">Routine monitoring </w:t>
      </w:r>
      <w:r w:rsidRPr="00C97571">
        <w:t xml:space="preserve">by taking </w:t>
      </w:r>
      <w:r w:rsidRPr="008B13D7">
        <w:t xml:space="preserve">instantaneous samples for BOD, TSS and any other required </w:t>
      </w:r>
      <w:proofErr w:type="spellStart"/>
      <w:r w:rsidRPr="008B13D7">
        <w:t>determinands</w:t>
      </w:r>
      <w:proofErr w:type="spellEnd"/>
      <w:r w:rsidRPr="008B13D7">
        <w:t xml:space="preserve"> set to protect receiving water </w:t>
      </w:r>
      <w:r w:rsidRPr="00C97571">
        <w:t>is required</w:t>
      </w:r>
      <w:r w:rsidRPr="008B13D7">
        <w:t>.</w:t>
      </w:r>
    </w:p>
    <w:p w14:paraId="2BC82EE3" w14:textId="77777777" w:rsidR="00A368C6" w:rsidRPr="002D7C3E" w:rsidRDefault="00A368C6" w:rsidP="00A368C6">
      <w:pPr>
        <w:pStyle w:val="Heading4"/>
      </w:pPr>
      <w:bookmarkStart w:id="147" w:name="_Toc364167831"/>
      <w:r w:rsidRPr="002D7C3E">
        <w:t>Discharges to rivers and estuaries between 2,000 and 10,000 </w:t>
      </w:r>
      <w:proofErr w:type="spellStart"/>
      <w:r w:rsidRPr="002D7C3E">
        <w:t>p.e.</w:t>
      </w:r>
      <w:bookmarkEnd w:id="147"/>
      <w:proofErr w:type="spellEnd"/>
    </w:p>
    <w:p w14:paraId="39BB744F" w14:textId="77777777" w:rsidR="00A368C6" w:rsidRPr="002D7C3E" w:rsidRDefault="00A368C6" w:rsidP="00A368C6">
      <w:pPr>
        <w:pStyle w:val="BodyText1"/>
      </w:pPr>
      <w:r w:rsidRPr="002D7C3E">
        <w:t xml:space="preserve">The UWWTD requires composite sampling for monitoring compliance with the Directive’s standards. </w:t>
      </w:r>
    </w:p>
    <w:p w14:paraId="6769DD3A" w14:textId="56CC5806" w:rsidR="00A368C6" w:rsidRPr="002D7C3E" w:rsidRDefault="00A368C6" w:rsidP="00A368C6">
      <w:pPr>
        <w:pStyle w:val="BodyText1"/>
      </w:pPr>
      <w:r w:rsidRPr="002D7C3E">
        <w:t>Instantaneous standards will be required for CAR</w:t>
      </w:r>
      <w:r>
        <w:t>.</w:t>
      </w:r>
      <w:r w:rsidRPr="002D7C3E">
        <w:t xml:space="preserve"> Instantaneous two-tier standards </w:t>
      </w:r>
      <w:r w:rsidR="00510A83">
        <w:t>will</w:t>
      </w:r>
      <w:r w:rsidRPr="002D7C3E">
        <w:t xml:space="preserve"> be calculated to protect receiving water as peak concentration and compliance with the EQS is the main concern for discharges of this size to rivers and estuaries.</w:t>
      </w:r>
      <w:r>
        <w:t xml:space="preserve"> </w:t>
      </w:r>
      <w:r w:rsidRPr="002D7C3E">
        <w:t xml:space="preserve">These standards </w:t>
      </w:r>
      <w:r w:rsidR="00510A83">
        <w:t>will</w:t>
      </w:r>
      <w:r w:rsidRPr="002D7C3E">
        <w:t xml:space="preserve"> be included in the </w:t>
      </w:r>
      <w:r w:rsidR="00716D86">
        <w:t xml:space="preserve">EASR </w:t>
      </w:r>
      <w:r w:rsidRPr="002D7C3E">
        <w:t>schedule, including:</w:t>
      </w:r>
    </w:p>
    <w:p w14:paraId="6358F4CD" w14:textId="77777777" w:rsidR="00A368C6" w:rsidRPr="002D7C3E" w:rsidRDefault="00A368C6" w:rsidP="00A368C6">
      <w:pPr>
        <w:pStyle w:val="BodyText1"/>
        <w:numPr>
          <w:ilvl w:val="0"/>
          <w:numId w:val="21"/>
        </w:numPr>
      </w:pPr>
      <w:r w:rsidRPr="002D7C3E">
        <w:t>Instantaneous BOD standards, as those specified in the UWWTR schedule will be for composite samples.</w:t>
      </w:r>
    </w:p>
    <w:p w14:paraId="66B44A8A" w14:textId="1413064A" w:rsidR="00A368C6" w:rsidRPr="002D7C3E" w:rsidRDefault="00A368C6" w:rsidP="00A368C6">
      <w:pPr>
        <w:pStyle w:val="BodyText1"/>
        <w:numPr>
          <w:ilvl w:val="0"/>
          <w:numId w:val="21"/>
        </w:numPr>
      </w:pPr>
      <w:r w:rsidRPr="002D7C3E">
        <w:t>Instantaneous upper-tier 100 mg/l TSS</w:t>
      </w:r>
      <w:r>
        <w:t xml:space="preserve">. </w:t>
      </w:r>
      <w:r w:rsidRPr="00C97571">
        <w:t xml:space="preserve">This </w:t>
      </w:r>
      <w:r w:rsidR="00B04941">
        <w:t>will</w:t>
      </w:r>
      <w:r w:rsidRPr="00C97571">
        <w:t xml:space="preserve"> be</w:t>
      </w:r>
      <w:r w:rsidRPr="00AF2515">
        <w:t xml:space="preserve"> included within routine </w:t>
      </w:r>
      <w:r w:rsidRPr="002D7C3E">
        <w:t>monitoring and compliance assessment.</w:t>
      </w:r>
    </w:p>
    <w:p w14:paraId="2D9C89D1" w14:textId="77777777" w:rsidR="00A368C6" w:rsidRPr="002D7C3E" w:rsidRDefault="00A368C6" w:rsidP="00A368C6">
      <w:pPr>
        <w:pStyle w:val="BodyText1"/>
        <w:numPr>
          <w:ilvl w:val="0"/>
          <w:numId w:val="21"/>
        </w:numPr>
      </w:pPr>
      <w:r w:rsidRPr="002D7C3E">
        <w:t>Routine monitoring of composite samples for COD and BOD and UWWTR percentage reduction (optional).</w:t>
      </w:r>
      <w:r>
        <w:t xml:space="preserve"> </w:t>
      </w:r>
    </w:p>
    <w:p w14:paraId="695FF02A" w14:textId="77777777" w:rsidR="00A368C6" w:rsidRPr="002D7C3E" w:rsidRDefault="00A368C6" w:rsidP="00A368C6">
      <w:pPr>
        <w:pStyle w:val="BodyText1"/>
        <w:numPr>
          <w:ilvl w:val="0"/>
          <w:numId w:val="21"/>
        </w:numPr>
      </w:pPr>
      <w:r w:rsidRPr="00C97571">
        <w:t xml:space="preserve">A requirement for </w:t>
      </w:r>
      <w:r>
        <w:t>r</w:t>
      </w:r>
      <w:r w:rsidRPr="002D7C3E">
        <w:t xml:space="preserve">outine monitoring of instantaneous samples for BOD, TSS and any other required </w:t>
      </w:r>
      <w:proofErr w:type="spellStart"/>
      <w:r w:rsidRPr="00814D37">
        <w:t>determinands</w:t>
      </w:r>
      <w:proofErr w:type="spellEnd"/>
      <w:r w:rsidRPr="00814D37">
        <w:t xml:space="preserve"> </w:t>
      </w:r>
      <w:r w:rsidRPr="00C97571">
        <w:t>required</w:t>
      </w:r>
      <w:r w:rsidRPr="00814D37">
        <w:t xml:space="preserve"> </w:t>
      </w:r>
      <w:r w:rsidRPr="002D7C3E">
        <w:t xml:space="preserve">to protect </w:t>
      </w:r>
      <w:r>
        <w:t xml:space="preserve">the </w:t>
      </w:r>
      <w:r w:rsidRPr="002D7C3E">
        <w:t>receiving water.</w:t>
      </w:r>
    </w:p>
    <w:p w14:paraId="208D61E9" w14:textId="77777777" w:rsidR="00A368C6" w:rsidRPr="002D7C3E" w:rsidRDefault="00A368C6" w:rsidP="00A368C6">
      <w:pPr>
        <w:pStyle w:val="Heading4"/>
      </w:pPr>
      <w:bookmarkStart w:id="148" w:name="_Toc364167832"/>
      <w:r w:rsidRPr="002D7C3E">
        <w:t xml:space="preserve">Discharges to rivers and estuaries &lt;2,000 </w:t>
      </w:r>
      <w:proofErr w:type="spellStart"/>
      <w:r w:rsidRPr="002D7C3E">
        <w:t>p.e.</w:t>
      </w:r>
      <w:proofErr w:type="spellEnd"/>
      <w:r>
        <w:t xml:space="preserve"> and d</w:t>
      </w:r>
      <w:r w:rsidRPr="002D7C3E">
        <w:t xml:space="preserve">ischarges to coastal waters &lt;10,000 </w:t>
      </w:r>
      <w:proofErr w:type="spellStart"/>
      <w:r w:rsidRPr="002D7C3E">
        <w:t>p.e.</w:t>
      </w:r>
      <w:bookmarkEnd w:id="148"/>
      <w:proofErr w:type="spellEnd"/>
    </w:p>
    <w:p w14:paraId="6AF1FBA3" w14:textId="4FCDBD06" w:rsidR="00A368C6" w:rsidRPr="002D7C3E" w:rsidRDefault="00A368C6" w:rsidP="00A368C6">
      <w:pPr>
        <w:pStyle w:val="BodyText1"/>
      </w:pPr>
      <w:r w:rsidRPr="002D7C3E">
        <w:t>The UWWTR does not specify the treatment standards for discharges of this size</w:t>
      </w:r>
      <w:r w:rsidRPr="00FD16AA">
        <w:t>. Such discharges require appropriate treatment,</w:t>
      </w:r>
      <w:r w:rsidRPr="002D7C3E">
        <w:t xml:space="preserve"> therefore a UWWTR schedule in the </w:t>
      </w:r>
      <w:r w:rsidR="000033B0">
        <w:t>permit</w:t>
      </w:r>
      <w:r w:rsidRPr="002D7C3E">
        <w:t xml:space="preserve"> is not required.</w:t>
      </w:r>
    </w:p>
    <w:p w14:paraId="604F8DCE" w14:textId="27DB0820" w:rsidR="00A368C6" w:rsidRPr="002D7C3E" w:rsidRDefault="00A368C6" w:rsidP="00A368C6">
      <w:pPr>
        <w:pStyle w:val="BodyText1"/>
      </w:pPr>
      <w:r w:rsidRPr="002D7C3E">
        <w:t xml:space="preserve">The </w:t>
      </w:r>
      <w:r w:rsidR="00716D86">
        <w:t xml:space="preserve">EASR </w:t>
      </w:r>
      <w:r w:rsidRPr="002D7C3E">
        <w:t xml:space="preserve">schedule </w:t>
      </w:r>
      <w:r w:rsidR="00510A83">
        <w:t>will</w:t>
      </w:r>
      <w:r w:rsidRPr="002D7C3E">
        <w:t xml:space="preserve"> include instantaneous two-tier standards, set to protect the receiving water (e.g. BOD and ammonia).</w:t>
      </w:r>
    </w:p>
    <w:p w14:paraId="66FFFFC2" w14:textId="02B99004" w:rsidR="00A368C6" w:rsidRPr="002D7C3E" w:rsidRDefault="00A368C6" w:rsidP="00A368C6">
      <w:pPr>
        <w:pStyle w:val="BodyText1"/>
      </w:pPr>
      <w:r w:rsidRPr="002D7C3E">
        <w:t xml:space="preserve">Instantaneous upper-tier 100 mg/l TSS standard </w:t>
      </w:r>
      <w:r w:rsidR="00510A83">
        <w:t>will</w:t>
      </w:r>
      <w:r w:rsidRPr="002D7C3E">
        <w:t xml:space="preserve"> be included in the </w:t>
      </w:r>
      <w:r w:rsidR="00716D86">
        <w:t xml:space="preserve">EASR </w:t>
      </w:r>
      <w:r w:rsidRPr="002D7C3E">
        <w:t>schedule for discharges subject to secondary / tertiary treatment.</w:t>
      </w:r>
    </w:p>
    <w:p w14:paraId="0603B336" w14:textId="7B046B7F" w:rsidR="00A368C6" w:rsidRPr="002D7C3E" w:rsidRDefault="00A368C6" w:rsidP="00A368C6">
      <w:pPr>
        <w:pStyle w:val="BodyText1"/>
      </w:pPr>
      <w:r w:rsidRPr="002D7C3E">
        <w:lastRenderedPageBreak/>
        <w:t xml:space="preserve">Two-tier instantaneous TSS conditions </w:t>
      </w:r>
      <w:r w:rsidRPr="00C97571">
        <w:rPr>
          <w:shd w:val="clear" w:color="auto" w:fill="E6E6E6"/>
        </w:rPr>
        <w:t>only (usually 100/250mg/l)</w:t>
      </w:r>
      <w:r w:rsidRPr="00B1789B">
        <w:t xml:space="preserve"> </w:t>
      </w:r>
      <w:r w:rsidR="00510A83">
        <w:t>will</w:t>
      </w:r>
      <w:r w:rsidRPr="002D7C3E">
        <w:t xml:space="preserve"> be included for sampled primary or septic tank effluent.</w:t>
      </w:r>
    </w:p>
    <w:p w14:paraId="56FECA26" w14:textId="77777777" w:rsidR="00A368C6" w:rsidRDefault="00A368C6" w:rsidP="00A368C6">
      <w:pPr>
        <w:pStyle w:val="BodyText1"/>
      </w:pPr>
      <w:r w:rsidRPr="002D7C3E">
        <w:t xml:space="preserve">Routine </w:t>
      </w:r>
      <w:r w:rsidRPr="004703E1">
        <w:t xml:space="preserve">monitoring </w:t>
      </w:r>
      <w:r w:rsidRPr="00C97571">
        <w:t xml:space="preserve">by taking </w:t>
      </w:r>
      <w:r w:rsidRPr="002D7C3E">
        <w:t xml:space="preserve">instantaneous samples for any required </w:t>
      </w:r>
      <w:proofErr w:type="spellStart"/>
      <w:r w:rsidRPr="002D7C3E">
        <w:t>determinands</w:t>
      </w:r>
      <w:proofErr w:type="spellEnd"/>
      <w:r w:rsidRPr="002D7C3E">
        <w:t xml:space="preserve"> set to protect </w:t>
      </w:r>
      <w:r>
        <w:t xml:space="preserve">the </w:t>
      </w:r>
      <w:r w:rsidRPr="002D7C3E">
        <w:t>receiving water (</w:t>
      </w:r>
      <w:proofErr w:type="spellStart"/>
      <w:r w:rsidRPr="002D7C3E">
        <w:t>eg</w:t>
      </w:r>
      <w:proofErr w:type="spellEnd"/>
      <w:r w:rsidRPr="002D7C3E">
        <w:t xml:space="preserve"> BOD, Ammonia and TSS)</w:t>
      </w:r>
      <w:r>
        <w:t xml:space="preserve"> </w:t>
      </w:r>
      <w:r w:rsidRPr="00C97571">
        <w:t>will be required</w:t>
      </w:r>
      <w:r w:rsidRPr="00A508C9">
        <w:t>.</w:t>
      </w:r>
    </w:p>
    <w:p w14:paraId="17DC5E67" w14:textId="77777777" w:rsidR="00A368C6" w:rsidRDefault="00A368C6" w:rsidP="00A368C6">
      <w:pPr>
        <w:pStyle w:val="BodyText1"/>
        <w:rPr>
          <w:b/>
          <w:bCs/>
        </w:rPr>
      </w:pPr>
      <w:r w:rsidRPr="001219ED">
        <w:rPr>
          <w:b/>
          <w:bCs/>
        </w:rPr>
        <w:t>Table 3: Summary of discharge quality standard conditions</w:t>
      </w:r>
    </w:p>
    <w:tbl>
      <w:tblPr>
        <w:tblStyle w:val="TableGrid"/>
        <w:tblW w:w="10060" w:type="dxa"/>
        <w:tblLayout w:type="fixed"/>
        <w:tblLook w:val="04A0" w:firstRow="1" w:lastRow="0" w:firstColumn="1" w:lastColumn="0" w:noHBand="0" w:noVBand="1"/>
        <w:tblCaption w:val="Table3: Summary of discharge quality standard conditions"/>
        <w:tblDescription w:val="This table shows, for different sizes of discharges:&#10;The treatment required.&#10;What should be included in the treated sewage effluent CAR schedule.&#10;What should be included in the UWWTR schedule. "/>
      </w:tblPr>
      <w:tblGrid>
        <w:gridCol w:w="1696"/>
        <w:gridCol w:w="1418"/>
        <w:gridCol w:w="2977"/>
        <w:gridCol w:w="3969"/>
      </w:tblGrid>
      <w:tr w:rsidR="00A368C6" w:rsidRPr="008509A0" w14:paraId="35CEA6D5" w14:textId="77777777" w:rsidTr="00A368C6">
        <w:trPr>
          <w:cantSplit/>
          <w:tblHeader/>
        </w:trPr>
        <w:tc>
          <w:tcPr>
            <w:tcW w:w="1696" w:type="dxa"/>
            <w:shd w:val="clear" w:color="auto" w:fill="016574"/>
          </w:tcPr>
          <w:p w14:paraId="53804644" w14:textId="77777777" w:rsidR="00A368C6" w:rsidRPr="00BD2FD6" w:rsidRDefault="00A368C6" w:rsidP="005A5680">
            <w:pPr>
              <w:pStyle w:val="BodyText1"/>
              <w:spacing w:after="0"/>
              <w:jc w:val="center"/>
              <w:rPr>
                <w:rFonts w:asciiTheme="minorHAnsi" w:hAnsiTheme="minorHAnsi" w:cstheme="minorHAnsi"/>
                <w:b/>
                <w:bCs/>
                <w:color w:val="FFFFFF" w:themeColor="background1"/>
                <w:sz w:val="24"/>
                <w:szCs w:val="24"/>
              </w:rPr>
            </w:pPr>
            <w:r w:rsidRPr="00C97571">
              <w:rPr>
                <w:rFonts w:asciiTheme="minorHAnsi" w:hAnsiTheme="minorHAnsi" w:cstheme="minorHAnsi"/>
                <w:b/>
                <w:bCs/>
                <w:color w:val="FFFFFF" w:themeColor="background1"/>
                <w:sz w:val="24"/>
                <w:szCs w:val="24"/>
              </w:rPr>
              <w:lastRenderedPageBreak/>
              <w:t>Size of discharge</w:t>
            </w:r>
            <w:r>
              <w:rPr>
                <w:rFonts w:asciiTheme="minorHAnsi" w:hAnsiTheme="minorHAnsi" w:cstheme="minorHAnsi"/>
                <w:b/>
                <w:bCs/>
                <w:color w:val="FFFFFF" w:themeColor="background1"/>
                <w:sz w:val="24"/>
                <w:szCs w:val="24"/>
              </w:rPr>
              <w:t xml:space="preserve"> / UWWTR qualifying discharge</w:t>
            </w:r>
          </w:p>
        </w:tc>
        <w:tc>
          <w:tcPr>
            <w:tcW w:w="1418" w:type="dxa"/>
            <w:shd w:val="clear" w:color="auto" w:fill="016574"/>
          </w:tcPr>
          <w:p w14:paraId="7B148D85" w14:textId="77777777" w:rsidR="00A368C6" w:rsidRPr="00BD2FD6" w:rsidRDefault="00A368C6" w:rsidP="005A5680">
            <w:pPr>
              <w:pStyle w:val="BodyText1"/>
              <w:spacing w:after="0"/>
              <w:jc w:val="center"/>
              <w:rPr>
                <w:rFonts w:asciiTheme="minorHAnsi" w:hAnsiTheme="minorHAnsi" w:cstheme="minorHAnsi"/>
                <w:b/>
                <w:bCs/>
                <w:color w:val="FFFFFF" w:themeColor="background1"/>
                <w:sz w:val="24"/>
                <w:szCs w:val="24"/>
              </w:rPr>
            </w:pPr>
            <w:r w:rsidRPr="00BD2FD6">
              <w:rPr>
                <w:rFonts w:asciiTheme="minorHAnsi" w:hAnsiTheme="minorHAnsi" w:cstheme="minorHAnsi"/>
                <w:b/>
                <w:bCs/>
                <w:color w:val="FFFFFF" w:themeColor="background1"/>
                <w:sz w:val="24"/>
                <w:szCs w:val="24"/>
              </w:rPr>
              <w:t>Treatment</w:t>
            </w:r>
          </w:p>
        </w:tc>
        <w:tc>
          <w:tcPr>
            <w:tcW w:w="2977" w:type="dxa"/>
            <w:shd w:val="clear" w:color="auto" w:fill="016574"/>
          </w:tcPr>
          <w:p w14:paraId="5E8619F5" w14:textId="77777777" w:rsidR="00A368C6" w:rsidRPr="00BD2FD6" w:rsidRDefault="00A368C6" w:rsidP="005A5680">
            <w:pPr>
              <w:pStyle w:val="BodyText1"/>
              <w:spacing w:after="0"/>
              <w:jc w:val="center"/>
              <w:rPr>
                <w:rFonts w:asciiTheme="minorHAnsi" w:hAnsiTheme="minorHAnsi" w:cstheme="minorHAnsi"/>
                <w:b/>
                <w:bCs/>
                <w:color w:val="FFFFFF" w:themeColor="background1"/>
                <w:sz w:val="24"/>
                <w:szCs w:val="24"/>
              </w:rPr>
            </w:pPr>
            <w:r w:rsidRPr="00BD2FD6">
              <w:rPr>
                <w:rFonts w:asciiTheme="minorHAnsi" w:hAnsiTheme="minorHAnsi" w:cstheme="minorHAnsi"/>
                <w:b/>
                <w:bCs/>
                <w:color w:val="FFFFFF" w:themeColor="background1"/>
                <w:sz w:val="24"/>
                <w:szCs w:val="24"/>
              </w:rPr>
              <w:t xml:space="preserve">Treated </w:t>
            </w:r>
            <w:r>
              <w:rPr>
                <w:rFonts w:asciiTheme="minorHAnsi" w:hAnsiTheme="minorHAnsi" w:cstheme="minorHAnsi"/>
                <w:b/>
                <w:bCs/>
                <w:color w:val="FFFFFF" w:themeColor="background1"/>
                <w:sz w:val="24"/>
                <w:szCs w:val="24"/>
              </w:rPr>
              <w:t>s</w:t>
            </w:r>
            <w:r w:rsidRPr="00BD2FD6">
              <w:rPr>
                <w:rFonts w:asciiTheme="minorHAnsi" w:hAnsiTheme="minorHAnsi" w:cstheme="minorHAnsi"/>
                <w:b/>
                <w:bCs/>
                <w:color w:val="FFFFFF" w:themeColor="background1"/>
                <w:sz w:val="24"/>
                <w:szCs w:val="24"/>
              </w:rPr>
              <w:t xml:space="preserve">ewage </w:t>
            </w:r>
            <w:r>
              <w:rPr>
                <w:rFonts w:asciiTheme="minorHAnsi" w:hAnsiTheme="minorHAnsi" w:cstheme="minorHAnsi"/>
                <w:b/>
                <w:bCs/>
                <w:color w:val="FFFFFF" w:themeColor="background1"/>
                <w:sz w:val="24"/>
                <w:szCs w:val="24"/>
              </w:rPr>
              <w:t>e</w:t>
            </w:r>
            <w:r w:rsidRPr="00BD2FD6">
              <w:rPr>
                <w:rFonts w:asciiTheme="minorHAnsi" w:hAnsiTheme="minorHAnsi" w:cstheme="minorHAnsi"/>
                <w:b/>
                <w:bCs/>
                <w:color w:val="FFFFFF" w:themeColor="background1"/>
                <w:sz w:val="24"/>
                <w:szCs w:val="24"/>
              </w:rPr>
              <w:t xml:space="preserve">ffluent (CAR) </w:t>
            </w:r>
            <w:r>
              <w:rPr>
                <w:rFonts w:asciiTheme="minorHAnsi" w:hAnsiTheme="minorHAnsi" w:cstheme="minorHAnsi"/>
                <w:b/>
                <w:bCs/>
                <w:color w:val="FFFFFF" w:themeColor="background1"/>
                <w:sz w:val="24"/>
                <w:szCs w:val="24"/>
              </w:rPr>
              <w:t>s</w:t>
            </w:r>
            <w:r w:rsidRPr="00BD2FD6">
              <w:rPr>
                <w:rFonts w:asciiTheme="minorHAnsi" w:hAnsiTheme="minorHAnsi" w:cstheme="minorHAnsi"/>
                <w:b/>
                <w:bCs/>
                <w:color w:val="FFFFFF" w:themeColor="background1"/>
                <w:sz w:val="24"/>
                <w:szCs w:val="24"/>
              </w:rPr>
              <w:t>chedule</w:t>
            </w:r>
          </w:p>
        </w:tc>
        <w:tc>
          <w:tcPr>
            <w:tcW w:w="3969" w:type="dxa"/>
            <w:shd w:val="clear" w:color="auto" w:fill="016574"/>
          </w:tcPr>
          <w:p w14:paraId="599EA28B" w14:textId="77777777" w:rsidR="00A368C6" w:rsidRPr="00BD2FD6" w:rsidRDefault="00A368C6" w:rsidP="005A5680">
            <w:pPr>
              <w:pStyle w:val="BodyText1"/>
              <w:spacing w:after="0"/>
              <w:jc w:val="center"/>
              <w:rPr>
                <w:rFonts w:asciiTheme="minorHAnsi" w:hAnsiTheme="minorHAnsi" w:cstheme="minorHAnsi"/>
                <w:b/>
                <w:bCs/>
                <w:color w:val="FFFFFF" w:themeColor="background1"/>
                <w:sz w:val="24"/>
                <w:szCs w:val="24"/>
              </w:rPr>
            </w:pPr>
            <w:r w:rsidRPr="00BD2FD6">
              <w:rPr>
                <w:rFonts w:asciiTheme="minorHAnsi" w:hAnsiTheme="minorHAnsi" w:cstheme="minorHAnsi"/>
                <w:b/>
                <w:bCs/>
                <w:color w:val="FFFFFF" w:themeColor="background1"/>
                <w:sz w:val="24"/>
                <w:szCs w:val="24"/>
              </w:rPr>
              <w:t xml:space="preserve">UWWTR </w:t>
            </w:r>
            <w:r>
              <w:rPr>
                <w:rFonts w:asciiTheme="minorHAnsi" w:hAnsiTheme="minorHAnsi" w:cstheme="minorHAnsi"/>
                <w:b/>
                <w:bCs/>
                <w:color w:val="FFFFFF" w:themeColor="background1"/>
                <w:sz w:val="24"/>
                <w:szCs w:val="24"/>
              </w:rPr>
              <w:t>s</w:t>
            </w:r>
            <w:r w:rsidRPr="00BD2FD6">
              <w:rPr>
                <w:rFonts w:asciiTheme="minorHAnsi" w:hAnsiTheme="minorHAnsi" w:cstheme="minorHAnsi"/>
                <w:b/>
                <w:bCs/>
                <w:color w:val="FFFFFF" w:themeColor="background1"/>
                <w:sz w:val="24"/>
                <w:szCs w:val="24"/>
              </w:rPr>
              <w:t>chedule</w:t>
            </w:r>
          </w:p>
        </w:tc>
      </w:tr>
      <w:tr w:rsidR="00A368C6" w:rsidRPr="002D7C3E" w14:paraId="3502C330" w14:textId="77777777" w:rsidTr="00A368C6">
        <w:trPr>
          <w:cantSplit/>
        </w:trPr>
        <w:tc>
          <w:tcPr>
            <w:tcW w:w="1696"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3E30847" w14:textId="77777777" w:rsidR="00A368C6" w:rsidRPr="00BD2FD6" w:rsidRDefault="00A368C6" w:rsidP="005A5680">
            <w:pPr>
              <w:pStyle w:val="BodyText1"/>
              <w:spacing w:after="0"/>
              <w:jc w:val="both"/>
              <w:rPr>
                <w:rFonts w:asciiTheme="minorHAnsi" w:hAnsiTheme="minorHAnsi" w:cstheme="minorHAnsi"/>
                <w:sz w:val="24"/>
                <w:szCs w:val="24"/>
              </w:rPr>
            </w:pPr>
            <w:r w:rsidRPr="00BD2FD6">
              <w:rPr>
                <w:rFonts w:asciiTheme="minorHAnsi" w:hAnsiTheme="minorHAnsi" w:cstheme="minorHAnsi"/>
                <w:sz w:val="24"/>
                <w:szCs w:val="24"/>
              </w:rPr>
              <w:t>&gt; 10,000 pe to coastal waters and estuaries</w:t>
            </w:r>
            <w:r w:rsidRPr="00BD2FD6">
              <w:rPr>
                <w:rFonts w:asciiTheme="minorHAnsi" w:hAnsiTheme="minorHAnsi" w:cstheme="minorHAnsi"/>
                <w:sz w:val="24"/>
                <w:szCs w:val="24"/>
              </w:rPr>
              <w:br/>
              <w:t>&gt; 2,000 pe to freshwater lochs</w:t>
            </w:r>
            <w:r>
              <w:rPr>
                <w:rFonts w:asciiTheme="minorHAnsi" w:hAnsiTheme="minorHAnsi" w:cstheme="minorHAnsi"/>
                <w:sz w:val="24"/>
                <w:szCs w:val="24"/>
              </w:rPr>
              <w:t>/ Yes</w:t>
            </w:r>
          </w:p>
        </w:tc>
        <w:tc>
          <w:tcPr>
            <w:tcW w:w="1418"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7C16FE6" w14:textId="77777777" w:rsidR="00A368C6" w:rsidRPr="00BD2FD6" w:rsidRDefault="00A368C6" w:rsidP="005A5680">
            <w:pPr>
              <w:pStyle w:val="BodyText1"/>
              <w:spacing w:after="0"/>
              <w:jc w:val="both"/>
              <w:rPr>
                <w:rFonts w:asciiTheme="minorHAnsi" w:hAnsiTheme="minorHAnsi" w:cstheme="minorHAnsi"/>
                <w:sz w:val="24"/>
                <w:szCs w:val="24"/>
              </w:rPr>
            </w:pPr>
            <w:r w:rsidRPr="00BD2FD6">
              <w:rPr>
                <w:rFonts w:asciiTheme="minorHAnsi" w:hAnsiTheme="minorHAnsi" w:cstheme="minorHAnsi"/>
                <w:sz w:val="24"/>
                <w:szCs w:val="24"/>
              </w:rPr>
              <w:t>Secondary</w:t>
            </w:r>
          </w:p>
        </w:tc>
        <w:tc>
          <w:tcPr>
            <w:tcW w:w="2977"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2EE97CE" w14:textId="61D48F6C" w:rsidR="00A368C6" w:rsidRDefault="00A368C6" w:rsidP="00A368C6">
            <w:pPr>
              <w:pStyle w:val="BodyText1"/>
              <w:numPr>
                <w:ilvl w:val="0"/>
                <w:numId w:val="24"/>
              </w:numPr>
              <w:ind w:left="456" w:hanging="425"/>
              <w:jc w:val="both"/>
              <w:rPr>
                <w:rFonts w:asciiTheme="minorHAnsi" w:hAnsiTheme="minorHAnsi" w:cstheme="minorHAnsi"/>
                <w:sz w:val="24"/>
                <w:szCs w:val="24"/>
              </w:rPr>
            </w:pPr>
            <w:r w:rsidRPr="00BD2FD6">
              <w:rPr>
                <w:rFonts w:asciiTheme="minorHAnsi" w:hAnsiTheme="minorHAnsi" w:cstheme="minorHAnsi"/>
                <w:sz w:val="24"/>
                <w:szCs w:val="24"/>
              </w:rPr>
              <w:t xml:space="preserve">No two-tier standards for BOD, COD, or nutrients </w:t>
            </w:r>
            <w:r w:rsidR="00510A83">
              <w:rPr>
                <w:rFonts w:asciiTheme="minorHAnsi" w:hAnsiTheme="minorHAnsi" w:cstheme="minorHAnsi"/>
                <w:sz w:val="24"/>
                <w:szCs w:val="24"/>
              </w:rPr>
              <w:t>will</w:t>
            </w:r>
            <w:r w:rsidRPr="00BD2FD6">
              <w:rPr>
                <w:rFonts w:asciiTheme="minorHAnsi" w:hAnsiTheme="minorHAnsi" w:cstheme="minorHAnsi"/>
                <w:sz w:val="24"/>
                <w:szCs w:val="24"/>
              </w:rPr>
              <w:t xml:space="preserve"> be included unless the lower-tier standard is more stringent than that required by UWWTR.</w:t>
            </w:r>
          </w:p>
          <w:p w14:paraId="76429E16" w14:textId="34BF1BAD" w:rsidR="00A368C6" w:rsidRDefault="00A368C6" w:rsidP="00A368C6">
            <w:pPr>
              <w:pStyle w:val="BodyText1"/>
              <w:numPr>
                <w:ilvl w:val="0"/>
                <w:numId w:val="24"/>
              </w:numPr>
              <w:ind w:left="456" w:hanging="425"/>
              <w:jc w:val="both"/>
              <w:rPr>
                <w:rFonts w:asciiTheme="minorHAnsi" w:hAnsiTheme="minorHAnsi" w:cstheme="minorHAnsi"/>
                <w:sz w:val="24"/>
                <w:szCs w:val="24"/>
              </w:rPr>
            </w:pPr>
            <w:r w:rsidRPr="00BD2FD6">
              <w:rPr>
                <w:rFonts w:asciiTheme="minorHAnsi" w:hAnsiTheme="minorHAnsi" w:cstheme="minorHAnsi"/>
                <w:sz w:val="24"/>
                <w:szCs w:val="24"/>
              </w:rPr>
              <w:t>Composite 95%ile and upper-tier</w:t>
            </w:r>
            <w:r w:rsidRPr="0020430B">
              <w:t>1</w:t>
            </w:r>
            <w:r w:rsidRPr="00BD2FD6">
              <w:rPr>
                <w:rFonts w:asciiTheme="minorHAnsi" w:hAnsiTheme="minorHAnsi" w:cstheme="minorHAnsi"/>
                <w:sz w:val="24"/>
                <w:szCs w:val="24"/>
              </w:rPr>
              <w:t xml:space="preserve"> for other standards (</w:t>
            </w:r>
            <w:proofErr w:type="spellStart"/>
            <w:r w:rsidRPr="00BD2FD6">
              <w:rPr>
                <w:rFonts w:asciiTheme="minorHAnsi" w:hAnsiTheme="minorHAnsi" w:cstheme="minorHAnsi"/>
                <w:sz w:val="24"/>
                <w:szCs w:val="24"/>
              </w:rPr>
              <w:t>eg</w:t>
            </w:r>
            <w:proofErr w:type="spellEnd"/>
            <w:r w:rsidRPr="00BD2FD6">
              <w:rPr>
                <w:rFonts w:asciiTheme="minorHAnsi" w:hAnsiTheme="minorHAnsi" w:cstheme="minorHAnsi"/>
                <w:sz w:val="24"/>
                <w:szCs w:val="24"/>
              </w:rPr>
              <w:t xml:space="preserve"> Ammonia) </w:t>
            </w:r>
            <w:r w:rsidR="00510A83">
              <w:rPr>
                <w:rFonts w:asciiTheme="minorHAnsi" w:hAnsiTheme="minorHAnsi" w:cstheme="minorHAnsi"/>
                <w:sz w:val="24"/>
                <w:szCs w:val="24"/>
              </w:rPr>
              <w:t>will</w:t>
            </w:r>
            <w:r w:rsidRPr="00BD2FD6">
              <w:rPr>
                <w:rFonts w:asciiTheme="minorHAnsi" w:hAnsiTheme="minorHAnsi" w:cstheme="minorHAnsi"/>
                <w:sz w:val="24"/>
                <w:szCs w:val="24"/>
              </w:rPr>
              <w:t xml:space="preserve"> be set where required to protect receiving water.</w:t>
            </w:r>
          </w:p>
          <w:p w14:paraId="74B7B38A" w14:textId="77777777" w:rsidR="00A368C6" w:rsidRDefault="00A368C6" w:rsidP="00A368C6">
            <w:pPr>
              <w:pStyle w:val="BodyText1"/>
              <w:numPr>
                <w:ilvl w:val="0"/>
                <w:numId w:val="24"/>
              </w:numPr>
              <w:ind w:left="456" w:hanging="425"/>
              <w:jc w:val="both"/>
              <w:rPr>
                <w:rFonts w:asciiTheme="minorHAnsi" w:hAnsiTheme="minorHAnsi" w:cstheme="minorHAnsi"/>
                <w:sz w:val="24"/>
                <w:szCs w:val="24"/>
              </w:rPr>
            </w:pPr>
            <w:r w:rsidRPr="00BD2FD6">
              <w:rPr>
                <w:rFonts w:asciiTheme="minorHAnsi" w:hAnsiTheme="minorHAnsi" w:cstheme="minorHAnsi"/>
                <w:sz w:val="24"/>
                <w:szCs w:val="24"/>
              </w:rPr>
              <w:t xml:space="preserve">Instantaneous </w:t>
            </w:r>
            <w:proofErr w:type="gramStart"/>
            <w:r w:rsidRPr="00BD2FD6">
              <w:rPr>
                <w:rFonts w:asciiTheme="minorHAnsi" w:hAnsiTheme="minorHAnsi" w:cstheme="minorHAnsi"/>
                <w:sz w:val="24"/>
                <w:szCs w:val="24"/>
              </w:rPr>
              <w:t>upper-tier</w:t>
            </w:r>
            <w:proofErr w:type="gramEnd"/>
            <w:r w:rsidRPr="00BD2FD6">
              <w:rPr>
                <w:rFonts w:asciiTheme="minorHAnsi" w:hAnsiTheme="minorHAnsi" w:cstheme="minorHAnsi"/>
                <w:sz w:val="24"/>
                <w:szCs w:val="24"/>
              </w:rPr>
              <w:t xml:space="preserve"> of 100 mg/l TSS for </w:t>
            </w:r>
            <w:r w:rsidRPr="00A329BC">
              <w:rPr>
                <w:rFonts w:asciiTheme="minorHAnsi" w:hAnsiTheme="minorHAnsi" w:cstheme="minorHAnsi"/>
                <w:sz w:val="24"/>
                <w:szCs w:val="24"/>
              </w:rPr>
              <w:t>enforcement purposes.</w:t>
            </w:r>
          </w:p>
          <w:p w14:paraId="466FB795" w14:textId="77777777" w:rsidR="00A368C6" w:rsidRPr="00BD2FD6" w:rsidRDefault="00A368C6" w:rsidP="00A368C6">
            <w:pPr>
              <w:pStyle w:val="BodyText1"/>
              <w:numPr>
                <w:ilvl w:val="0"/>
                <w:numId w:val="24"/>
              </w:numPr>
              <w:ind w:left="456" w:hanging="425"/>
              <w:jc w:val="both"/>
              <w:rPr>
                <w:rFonts w:asciiTheme="minorHAnsi" w:hAnsiTheme="minorHAnsi" w:cstheme="minorHAnsi"/>
                <w:sz w:val="24"/>
                <w:szCs w:val="24"/>
              </w:rPr>
            </w:pPr>
            <w:r w:rsidRPr="00BD2FD6">
              <w:rPr>
                <w:rFonts w:asciiTheme="minorHAnsi" w:hAnsiTheme="minorHAnsi" w:cstheme="minorHAnsi"/>
                <w:sz w:val="24"/>
                <w:szCs w:val="24"/>
              </w:rPr>
              <w:t xml:space="preserve">Instantaneous upper-tier 75 mg/l BOD for </w:t>
            </w:r>
            <w:r w:rsidRPr="00A329BC">
              <w:rPr>
                <w:rFonts w:asciiTheme="minorHAnsi" w:hAnsiTheme="minorHAnsi" w:cstheme="minorHAnsi"/>
                <w:sz w:val="24"/>
                <w:szCs w:val="24"/>
              </w:rPr>
              <w:t>enforcement purposes</w:t>
            </w:r>
            <w:r w:rsidRPr="00BD2FD6">
              <w:rPr>
                <w:rFonts w:asciiTheme="minorHAnsi" w:hAnsiTheme="minorHAnsi" w:cstheme="minorHAnsi"/>
                <w:sz w:val="24"/>
                <w:szCs w:val="24"/>
              </w:rPr>
              <w:t>.</w:t>
            </w:r>
          </w:p>
        </w:tc>
        <w:tc>
          <w:tcPr>
            <w:tcW w:w="3969"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6E2B21C" w14:textId="77777777" w:rsidR="00A368C6" w:rsidRDefault="00A368C6" w:rsidP="005A5680">
            <w:pPr>
              <w:pStyle w:val="BodyText1"/>
              <w:spacing w:after="0"/>
              <w:jc w:val="both"/>
              <w:rPr>
                <w:rFonts w:asciiTheme="minorHAnsi" w:hAnsiTheme="minorHAnsi" w:cstheme="minorHAnsi"/>
                <w:sz w:val="24"/>
                <w:szCs w:val="24"/>
              </w:rPr>
            </w:pPr>
            <w:r w:rsidRPr="00C97571">
              <w:rPr>
                <w:rFonts w:asciiTheme="minorHAnsi" w:hAnsiTheme="minorHAnsi" w:cstheme="minorHAnsi"/>
                <w:sz w:val="24"/>
                <w:szCs w:val="24"/>
              </w:rPr>
              <w:t>UWWT conditions for secondary treatment</w:t>
            </w:r>
            <w:r w:rsidRPr="00C97571">
              <w:rPr>
                <w:rStyle w:val="Superscript"/>
                <w:rFonts w:asciiTheme="minorHAnsi" w:hAnsiTheme="minorHAnsi" w:cstheme="minorHAnsi"/>
                <w:szCs w:val="24"/>
              </w:rPr>
              <w:t>2</w:t>
            </w:r>
            <w:r w:rsidRPr="003D0395">
              <w:rPr>
                <w:rFonts w:asciiTheme="minorHAnsi" w:hAnsiTheme="minorHAnsi" w:cstheme="minorHAnsi"/>
                <w:sz w:val="24"/>
                <w:szCs w:val="24"/>
              </w:rPr>
              <w:t>:</w:t>
            </w:r>
          </w:p>
          <w:p w14:paraId="01D7B3FE" w14:textId="77777777" w:rsidR="00A368C6" w:rsidRDefault="00A368C6" w:rsidP="00A368C6">
            <w:pPr>
              <w:pStyle w:val="BodyText1"/>
              <w:numPr>
                <w:ilvl w:val="0"/>
                <w:numId w:val="27"/>
              </w:numPr>
              <w:spacing w:after="0"/>
              <w:ind w:left="455" w:hanging="425"/>
              <w:jc w:val="both"/>
              <w:rPr>
                <w:rFonts w:asciiTheme="minorHAnsi" w:hAnsiTheme="minorHAnsi" w:cstheme="minorHAnsi"/>
                <w:sz w:val="24"/>
                <w:szCs w:val="24"/>
              </w:rPr>
            </w:pPr>
            <w:r w:rsidRPr="003D0395">
              <w:rPr>
                <w:rFonts w:asciiTheme="minorHAnsi" w:hAnsiTheme="minorHAnsi" w:cstheme="minorHAnsi"/>
                <w:sz w:val="24"/>
                <w:szCs w:val="24"/>
              </w:rPr>
              <w:t>Composite two-tier standards for BOD and COD.</w:t>
            </w:r>
          </w:p>
          <w:p w14:paraId="4B20C641" w14:textId="77777777" w:rsidR="00A368C6" w:rsidRDefault="00A368C6" w:rsidP="00A368C6">
            <w:pPr>
              <w:pStyle w:val="BodyText1"/>
              <w:numPr>
                <w:ilvl w:val="0"/>
                <w:numId w:val="27"/>
              </w:numPr>
              <w:spacing w:after="0"/>
              <w:ind w:left="455" w:hanging="425"/>
              <w:jc w:val="both"/>
              <w:rPr>
                <w:rFonts w:asciiTheme="minorHAnsi" w:hAnsiTheme="minorHAnsi" w:cstheme="minorHAnsi"/>
                <w:sz w:val="24"/>
                <w:szCs w:val="24"/>
              </w:rPr>
            </w:pPr>
            <w:r w:rsidRPr="003D0395">
              <w:rPr>
                <w:rFonts w:asciiTheme="minorHAnsi" w:hAnsiTheme="minorHAnsi" w:cstheme="minorHAnsi"/>
                <w:sz w:val="24"/>
                <w:szCs w:val="24"/>
              </w:rPr>
              <w:t>Composite condition for percentage reduction (optional)</w:t>
            </w:r>
          </w:p>
          <w:p w14:paraId="4362812F" w14:textId="5D912A25" w:rsidR="00A368C6" w:rsidRPr="003D0395" w:rsidRDefault="00A368C6" w:rsidP="00A368C6">
            <w:pPr>
              <w:pStyle w:val="BodyText1"/>
              <w:numPr>
                <w:ilvl w:val="0"/>
                <w:numId w:val="27"/>
              </w:numPr>
              <w:spacing w:after="0"/>
              <w:ind w:left="455" w:hanging="425"/>
              <w:jc w:val="both"/>
              <w:rPr>
                <w:rFonts w:asciiTheme="minorHAnsi" w:hAnsiTheme="minorHAnsi" w:cstheme="minorHAnsi"/>
                <w:sz w:val="24"/>
                <w:szCs w:val="24"/>
              </w:rPr>
            </w:pPr>
            <w:r w:rsidRPr="003D0395">
              <w:rPr>
                <w:rFonts w:asciiTheme="minorHAnsi" w:hAnsiTheme="minorHAnsi" w:cstheme="minorHAnsi"/>
                <w:sz w:val="24"/>
                <w:szCs w:val="24"/>
              </w:rPr>
              <w:t xml:space="preserve">Composite nutrient standards including percentage reduction </w:t>
            </w:r>
            <w:r w:rsidR="00510A83">
              <w:rPr>
                <w:rFonts w:asciiTheme="minorHAnsi" w:hAnsiTheme="minorHAnsi" w:cstheme="minorHAnsi"/>
                <w:sz w:val="24"/>
                <w:szCs w:val="24"/>
              </w:rPr>
              <w:t>will</w:t>
            </w:r>
            <w:r w:rsidRPr="003D0395">
              <w:rPr>
                <w:rFonts w:asciiTheme="minorHAnsi" w:hAnsiTheme="minorHAnsi" w:cstheme="minorHAnsi"/>
                <w:sz w:val="24"/>
                <w:szCs w:val="24"/>
              </w:rPr>
              <w:t xml:space="preserve"> be included </w:t>
            </w:r>
            <w:r w:rsidRPr="00C97571">
              <w:rPr>
                <w:rFonts w:asciiTheme="minorHAnsi" w:hAnsiTheme="minorHAnsi" w:cstheme="minorHAnsi"/>
                <w:sz w:val="24"/>
                <w:szCs w:val="24"/>
              </w:rPr>
              <w:t>where required by UWWTR</w:t>
            </w:r>
          </w:p>
        </w:tc>
      </w:tr>
      <w:tr w:rsidR="00A368C6" w:rsidRPr="002D7C3E" w14:paraId="50503BBE" w14:textId="77777777" w:rsidTr="00A368C6">
        <w:trPr>
          <w:cantSplit/>
        </w:trPr>
        <w:tc>
          <w:tcPr>
            <w:tcW w:w="169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4606DD7B" w14:textId="77777777" w:rsidR="00A368C6" w:rsidRPr="003B23FB" w:rsidRDefault="00A368C6" w:rsidP="005A5680">
            <w:pPr>
              <w:pStyle w:val="BodyText1"/>
              <w:jc w:val="both"/>
              <w:rPr>
                <w:rFonts w:asciiTheme="minorHAnsi" w:hAnsiTheme="minorHAnsi" w:cstheme="minorHAnsi"/>
                <w:sz w:val="24"/>
                <w:szCs w:val="24"/>
              </w:rPr>
            </w:pPr>
            <w:r w:rsidRPr="003B23FB">
              <w:rPr>
                <w:rFonts w:asciiTheme="minorHAnsi" w:hAnsiTheme="minorHAnsi" w:cstheme="minorHAnsi"/>
                <w:sz w:val="24"/>
                <w:szCs w:val="24"/>
              </w:rPr>
              <w:lastRenderedPageBreak/>
              <w:t>&gt;10,000 pe to rivers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6B97BF" w14:textId="77777777" w:rsidR="00A368C6" w:rsidRPr="003B23FB" w:rsidRDefault="00A368C6" w:rsidP="005A5680">
            <w:pPr>
              <w:pStyle w:val="BodyText1"/>
              <w:jc w:val="both"/>
              <w:rPr>
                <w:rFonts w:asciiTheme="minorHAnsi" w:hAnsiTheme="minorHAnsi" w:cstheme="minorHAnsi"/>
                <w:sz w:val="24"/>
                <w:szCs w:val="24"/>
              </w:rPr>
            </w:pPr>
            <w:r w:rsidRPr="003B23FB">
              <w:rPr>
                <w:rFonts w:asciiTheme="minorHAnsi" w:hAnsiTheme="minorHAnsi" w:cstheme="minorHAnsi"/>
                <w:sz w:val="24"/>
                <w:szCs w:val="24"/>
              </w:rPr>
              <w:t>Secondary</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9289F" w14:textId="27D9A323" w:rsidR="00A368C6" w:rsidRPr="003B23FB" w:rsidRDefault="00A368C6" w:rsidP="00A368C6">
            <w:pPr>
              <w:pStyle w:val="BodyText1"/>
              <w:numPr>
                <w:ilvl w:val="0"/>
                <w:numId w:val="26"/>
              </w:numPr>
              <w:ind w:left="464" w:hanging="425"/>
              <w:jc w:val="both"/>
              <w:rPr>
                <w:rFonts w:asciiTheme="minorHAnsi" w:hAnsiTheme="minorHAnsi" w:cstheme="minorHAnsi"/>
                <w:sz w:val="24"/>
                <w:szCs w:val="24"/>
              </w:rPr>
            </w:pPr>
            <w:r w:rsidRPr="003B23FB">
              <w:rPr>
                <w:rFonts w:asciiTheme="minorHAnsi" w:hAnsiTheme="minorHAnsi" w:cstheme="minorHAnsi"/>
                <w:sz w:val="24"/>
                <w:szCs w:val="24"/>
              </w:rPr>
              <w:t xml:space="preserve">Instantaneous 95%ile and upper-tier 1 set where required to protect receiving water (BOD conditions </w:t>
            </w:r>
            <w:r w:rsidR="00510A83">
              <w:rPr>
                <w:rFonts w:asciiTheme="minorHAnsi" w:hAnsiTheme="minorHAnsi" w:cstheme="minorHAnsi"/>
                <w:sz w:val="24"/>
                <w:szCs w:val="24"/>
              </w:rPr>
              <w:t>will</w:t>
            </w:r>
            <w:r w:rsidRPr="003B23FB">
              <w:rPr>
                <w:rFonts w:asciiTheme="minorHAnsi" w:hAnsiTheme="minorHAnsi" w:cstheme="minorHAnsi"/>
                <w:sz w:val="24"/>
                <w:szCs w:val="24"/>
              </w:rPr>
              <w:t xml:space="preserve"> be included as UWWTR conditions are composite). </w:t>
            </w:r>
          </w:p>
          <w:p w14:paraId="16881203" w14:textId="77777777" w:rsidR="00A368C6" w:rsidRPr="003B23FB" w:rsidRDefault="00A368C6" w:rsidP="00A368C6">
            <w:pPr>
              <w:pStyle w:val="BodyText1"/>
              <w:numPr>
                <w:ilvl w:val="0"/>
                <w:numId w:val="26"/>
              </w:numPr>
              <w:ind w:left="464" w:hanging="425"/>
              <w:jc w:val="both"/>
              <w:rPr>
                <w:rFonts w:asciiTheme="minorHAnsi" w:hAnsiTheme="minorHAnsi" w:cstheme="minorHAnsi"/>
                <w:sz w:val="24"/>
                <w:szCs w:val="24"/>
              </w:rPr>
            </w:pPr>
            <w:r w:rsidRPr="003B23FB">
              <w:rPr>
                <w:rFonts w:asciiTheme="minorHAnsi" w:hAnsiTheme="minorHAnsi" w:cstheme="minorHAnsi"/>
                <w:sz w:val="24"/>
                <w:szCs w:val="24"/>
              </w:rPr>
              <w:t>Instantaneous upper-tier 100 mg/l TSS</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27C40B" w14:textId="77777777" w:rsidR="00A368C6" w:rsidRPr="003B23FB" w:rsidRDefault="00A368C6" w:rsidP="005A5680">
            <w:pPr>
              <w:pStyle w:val="BodyText1"/>
              <w:jc w:val="both"/>
              <w:rPr>
                <w:rFonts w:asciiTheme="minorHAnsi" w:hAnsiTheme="minorHAnsi" w:cstheme="minorHAnsi"/>
                <w:sz w:val="24"/>
                <w:szCs w:val="24"/>
              </w:rPr>
            </w:pPr>
            <w:r w:rsidRPr="003B23FB">
              <w:rPr>
                <w:rFonts w:asciiTheme="minorHAnsi" w:hAnsiTheme="minorHAnsi" w:cstheme="minorHAnsi"/>
                <w:sz w:val="24"/>
                <w:szCs w:val="24"/>
              </w:rPr>
              <w:t>UWWT conditions for secondary treatment</w:t>
            </w:r>
            <w:r w:rsidRPr="003A0F2C">
              <w:rPr>
                <w:rFonts w:asciiTheme="minorHAnsi" w:hAnsiTheme="minorHAnsi" w:cstheme="minorHAnsi"/>
                <w:sz w:val="24"/>
                <w:szCs w:val="24"/>
                <w:vertAlign w:val="superscript"/>
              </w:rPr>
              <w:t>2</w:t>
            </w:r>
            <w:r w:rsidRPr="003B23FB">
              <w:rPr>
                <w:rFonts w:asciiTheme="minorHAnsi" w:hAnsiTheme="minorHAnsi" w:cstheme="minorHAnsi"/>
                <w:sz w:val="24"/>
                <w:szCs w:val="24"/>
              </w:rPr>
              <w:t>:</w:t>
            </w:r>
          </w:p>
          <w:p w14:paraId="7998DAB8" w14:textId="77777777" w:rsidR="00A368C6" w:rsidRPr="003B23FB" w:rsidRDefault="00A368C6" w:rsidP="00A368C6">
            <w:pPr>
              <w:pStyle w:val="BodyText1"/>
              <w:numPr>
                <w:ilvl w:val="0"/>
                <w:numId w:val="28"/>
              </w:numPr>
              <w:ind w:left="455" w:hanging="455"/>
              <w:jc w:val="both"/>
              <w:rPr>
                <w:rFonts w:asciiTheme="minorHAnsi" w:hAnsiTheme="minorHAnsi" w:cstheme="minorHAnsi"/>
                <w:sz w:val="24"/>
                <w:szCs w:val="24"/>
              </w:rPr>
            </w:pPr>
            <w:r w:rsidRPr="003B23FB">
              <w:rPr>
                <w:rFonts w:asciiTheme="minorHAnsi" w:hAnsiTheme="minorHAnsi" w:cstheme="minorHAnsi"/>
                <w:sz w:val="24"/>
                <w:szCs w:val="24"/>
              </w:rPr>
              <w:t xml:space="preserve">Composite two-tier standards for BOD and COD </w:t>
            </w:r>
          </w:p>
          <w:p w14:paraId="780BC771" w14:textId="77777777" w:rsidR="00A368C6" w:rsidRPr="003B23FB" w:rsidRDefault="00A368C6" w:rsidP="00A368C6">
            <w:pPr>
              <w:pStyle w:val="BodyText1"/>
              <w:numPr>
                <w:ilvl w:val="0"/>
                <w:numId w:val="28"/>
              </w:numPr>
              <w:ind w:left="455" w:hanging="455"/>
              <w:jc w:val="both"/>
              <w:rPr>
                <w:rFonts w:asciiTheme="minorHAnsi" w:hAnsiTheme="minorHAnsi" w:cstheme="minorHAnsi"/>
                <w:sz w:val="24"/>
                <w:szCs w:val="24"/>
              </w:rPr>
            </w:pPr>
            <w:r w:rsidRPr="003B23FB">
              <w:rPr>
                <w:rFonts w:asciiTheme="minorHAnsi" w:hAnsiTheme="minorHAnsi" w:cstheme="minorHAnsi"/>
                <w:sz w:val="24"/>
                <w:szCs w:val="24"/>
              </w:rPr>
              <w:t xml:space="preserve">Composite - condition for percentage reduction (optional) </w:t>
            </w:r>
          </w:p>
          <w:p w14:paraId="76EF2AF7" w14:textId="30B137F9" w:rsidR="00A368C6" w:rsidRPr="003B23FB" w:rsidRDefault="00A368C6" w:rsidP="00A368C6">
            <w:pPr>
              <w:pStyle w:val="BodyText1"/>
              <w:numPr>
                <w:ilvl w:val="0"/>
                <w:numId w:val="28"/>
              </w:numPr>
              <w:ind w:left="455" w:hanging="455"/>
              <w:jc w:val="both"/>
              <w:rPr>
                <w:rFonts w:asciiTheme="minorHAnsi" w:hAnsiTheme="minorHAnsi" w:cstheme="minorHAnsi"/>
                <w:sz w:val="24"/>
                <w:szCs w:val="24"/>
              </w:rPr>
            </w:pPr>
            <w:r w:rsidRPr="003B23FB">
              <w:rPr>
                <w:rFonts w:asciiTheme="minorHAnsi" w:hAnsiTheme="minorHAnsi" w:cstheme="minorHAnsi"/>
                <w:sz w:val="24"/>
                <w:szCs w:val="24"/>
              </w:rPr>
              <w:t xml:space="preserve">Composite nutrient standards including percentage reduction </w:t>
            </w:r>
            <w:r w:rsidR="00510A83">
              <w:rPr>
                <w:rFonts w:asciiTheme="minorHAnsi" w:hAnsiTheme="minorHAnsi" w:cstheme="minorHAnsi"/>
                <w:sz w:val="24"/>
                <w:szCs w:val="24"/>
              </w:rPr>
              <w:t>will</w:t>
            </w:r>
            <w:r w:rsidRPr="003B23FB">
              <w:rPr>
                <w:rFonts w:asciiTheme="minorHAnsi" w:hAnsiTheme="minorHAnsi" w:cstheme="minorHAnsi"/>
                <w:sz w:val="24"/>
                <w:szCs w:val="24"/>
              </w:rPr>
              <w:t xml:space="preserve"> be included where required by UWWTR.</w:t>
            </w:r>
          </w:p>
        </w:tc>
      </w:tr>
      <w:tr w:rsidR="00A368C6" w:rsidRPr="002D7C3E" w14:paraId="4CF8B764" w14:textId="77777777" w:rsidTr="00A368C6">
        <w:trPr>
          <w:cantSplit/>
        </w:trPr>
        <w:tc>
          <w:tcPr>
            <w:tcW w:w="169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110C529" w14:textId="77777777" w:rsidR="00A368C6" w:rsidRPr="00A42F1C" w:rsidRDefault="00A368C6" w:rsidP="005A5680">
            <w:pPr>
              <w:pStyle w:val="BodyText1"/>
              <w:jc w:val="both"/>
              <w:rPr>
                <w:rFonts w:asciiTheme="minorHAnsi" w:hAnsiTheme="minorHAnsi" w:cstheme="minorHAnsi"/>
                <w:sz w:val="24"/>
                <w:szCs w:val="24"/>
              </w:rPr>
            </w:pPr>
            <w:r w:rsidRPr="00A42F1C">
              <w:rPr>
                <w:rFonts w:asciiTheme="minorHAnsi" w:hAnsiTheme="minorHAnsi" w:cstheme="minorHAnsi"/>
                <w:sz w:val="24"/>
                <w:szCs w:val="24"/>
              </w:rPr>
              <w:t>2,000 – 10,000 pe to rivers and estuaries</w:t>
            </w:r>
            <w:r>
              <w:rPr>
                <w:rFonts w:asciiTheme="minorHAnsi" w:hAnsiTheme="minorHAnsi" w:cstheme="minorHAnsi"/>
                <w:sz w:val="24"/>
                <w:szCs w:val="24"/>
              </w:rPr>
              <w:t>/Yes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688744" w14:textId="77777777" w:rsidR="00A368C6" w:rsidRPr="00A42F1C" w:rsidRDefault="00A368C6" w:rsidP="005A5680">
            <w:pPr>
              <w:pStyle w:val="BodyText1"/>
              <w:jc w:val="both"/>
              <w:rPr>
                <w:rFonts w:asciiTheme="minorHAnsi" w:hAnsiTheme="minorHAnsi" w:cstheme="minorHAnsi"/>
                <w:sz w:val="24"/>
                <w:szCs w:val="24"/>
              </w:rPr>
            </w:pPr>
            <w:r>
              <w:rPr>
                <w:rFonts w:asciiTheme="minorHAnsi" w:hAnsiTheme="minorHAnsi" w:cstheme="minorHAnsi"/>
                <w:sz w:val="24"/>
                <w:szCs w:val="24"/>
              </w:rPr>
              <w:t>Secondary</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A1F96" w14:textId="0441D4D8" w:rsidR="00A368C6" w:rsidRDefault="00A368C6" w:rsidP="00A368C6">
            <w:pPr>
              <w:pStyle w:val="BodyText1"/>
              <w:numPr>
                <w:ilvl w:val="0"/>
                <w:numId w:val="25"/>
              </w:numPr>
              <w:ind w:left="456" w:hanging="425"/>
              <w:jc w:val="both"/>
              <w:rPr>
                <w:rFonts w:asciiTheme="minorHAnsi" w:hAnsiTheme="minorHAnsi" w:cstheme="minorHAnsi"/>
                <w:sz w:val="24"/>
                <w:szCs w:val="24"/>
              </w:rPr>
            </w:pPr>
            <w:r>
              <w:rPr>
                <w:rFonts w:asciiTheme="minorHAnsi" w:hAnsiTheme="minorHAnsi" w:cstheme="minorHAnsi"/>
                <w:sz w:val="24"/>
                <w:szCs w:val="24"/>
              </w:rPr>
              <w:t>I</w:t>
            </w:r>
            <w:r w:rsidRPr="00A42F1C">
              <w:rPr>
                <w:rFonts w:asciiTheme="minorHAnsi" w:hAnsiTheme="minorHAnsi" w:cstheme="minorHAnsi"/>
                <w:sz w:val="24"/>
                <w:szCs w:val="24"/>
              </w:rPr>
              <w:t>nstantaneous 95%ile and upper-tier</w:t>
            </w:r>
            <w:r w:rsidRPr="003B23FB">
              <w:t>1</w:t>
            </w:r>
            <w:r w:rsidRPr="00A42F1C">
              <w:rPr>
                <w:rFonts w:asciiTheme="minorHAnsi" w:hAnsiTheme="minorHAnsi" w:cstheme="minorHAnsi"/>
                <w:sz w:val="24"/>
                <w:szCs w:val="24"/>
              </w:rPr>
              <w:t xml:space="preserve"> set where required to protect receiving water (BOD conditions </w:t>
            </w:r>
            <w:r w:rsidR="00510A83">
              <w:rPr>
                <w:rFonts w:asciiTheme="minorHAnsi" w:hAnsiTheme="minorHAnsi" w:cstheme="minorHAnsi"/>
                <w:sz w:val="24"/>
                <w:szCs w:val="24"/>
              </w:rPr>
              <w:t>will</w:t>
            </w:r>
            <w:r w:rsidRPr="00A42F1C">
              <w:rPr>
                <w:rFonts w:asciiTheme="minorHAnsi" w:hAnsiTheme="minorHAnsi" w:cstheme="minorHAnsi"/>
                <w:sz w:val="24"/>
                <w:szCs w:val="24"/>
              </w:rPr>
              <w:t xml:space="preserve"> be included as UWWTR conditions are composite).</w:t>
            </w:r>
          </w:p>
          <w:p w14:paraId="193A75EA" w14:textId="77777777" w:rsidR="00A368C6" w:rsidRPr="00A42F1C" w:rsidRDefault="00A368C6" w:rsidP="00A368C6">
            <w:pPr>
              <w:pStyle w:val="BodyText1"/>
              <w:numPr>
                <w:ilvl w:val="0"/>
                <w:numId w:val="25"/>
              </w:numPr>
              <w:ind w:left="456" w:hanging="425"/>
              <w:jc w:val="both"/>
              <w:rPr>
                <w:rFonts w:asciiTheme="minorHAnsi" w:hAnsiTheme="minorHAnsi" w:cstheme="minorHAnsi"/>
                <w:sz w:val="24"/>
                <w:szCs w:val="24"/>
              </w:rPr>
            </w:pPr>
            <w:r w:rsidRPr="00A42F1C">
              <w:rPr>
                <w:rFonts w:asciiTheme="minorHAnsi" w:hAnsiTheme="minorHAnsi" w:cstheme="minorHAnsi"/>
                <w:sz w:val="24"/>
                <w:szCs w:val="24"/>
              </w:rPr>
              <w:t>Instantaneous upper-tier 100 mg/l TSS.</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CA633A" w14:textId="77777777" w:rsidR="00A368C6" w:rsidRDefault="00A368C6" w:rsidP="005A5680">
            <w:pPr>
              <w:pStyle w:val="BodyText1"/>
              <w:jc w:val="both"/>
              <w:rPr>
                <w:rFonts w:asciiTheme="minorHAnsi" w:hAnsiTheme="minorHAnsi" w:cstheme="minorHAnsi"/>
                <w:sz w:val="24"/>
                <w:szCs w:val="24"/>
              </w:rPr>
            </w:pPr>
            <w:r w:rsidRPr="00C97571">
              <w:rPr>
                <w:rFonts w:asciiTheme="minorHAnsi" w:hAnsiTheme="minorHAnsi" w:cstheme="minorHAnsi"/>
                <w:sz w:val="24"/>
                <w:szCs w:val="24"/>
              </w:rPr>
              <w:t>UWWT conditions for secondary treatment</w:t>
            </w:r>
            <w:r w:rsidRPr="00C97571">
              <w:rPr>
                <w:rFonts w:asciiTheme="minorHAnsi" w:hAnsiTheme="minorHAnsi" w:cstheme="minorHAnsi"/>
                <w:sz w:val="24"/>
                <w:szCs w:val="24"/>
                <w:vertAlign w:val="superscript"/>
              </w:rPr>
              <w:t>2</w:t>
            </w:r>
            <w:r w:rsidRPr="00C97571">
              <w:rPr>
                <w:rFonts w:asciiTheme="minorHAnsi" w:hAnsiTheme="minorHAnsi" w:cstheme="minorHAnsi"/>
                <w:sz w:val="24"/>
                <w:szCs w:val="24"/>
              </w:rPr>
              <w:t>:</w:t>
            </w:r>
          </w:p>
          <w:p w14:paraId="594DA460" w14:textId="77777777" w:rsidR="00A368C6" w:rsidRDefault="00A368C6" w:rsidP="00A368C6">
            <w:pPr>
              <w:pStyle w:val="BodyText1"/>
              <w:numPr>
                <w:ilvl w:val="0"/>
                <w:numId w:val="29"/>
              </w:numPr>
              <w:ind w:left="455" w:hanging="425"/>
              <w:jc w:val="both"/>
              <w:rPr>
                <w:rFonts w:asciiTheme="minorHAnsi" w:hAnsiTheme="minorHAnsi" w:cstheme="minorHAnsi"/>
                <w:sz w:val="24"/>
                <w:szCs w:val="24"/>
              </w:rPr>
            </w:pPr>
            <w:r w:rsidRPr="00A42F1C">
              <w:rPr>
                <w:rFonts w:asciiTheme="minorHAnsi" w:hAnsiTheme="minorHAnsi" w:cstheme="minorHAnsi"/>
                <w:sz w:val="24"/>
                <w:szCs w:val="24"/>
              </w:rPr>
              <w:t>Composite two-tier standards for BOD and COD</w:t>
            </w:r>
            <w:r>
              <w:rPr>
                <w:rFonts w:asciiTheme="minorHAnsi" w:hAnsiTheme="minorHAnsi" w:cstheme="minorHAnsi"/>
                <w:sz w:val="24"/>
                <w:szCs w:val="24"/>
              </w:rPr>
              <w:t>.</w:t>
            </w:r>
          </w:p>
          <w:p w14:paraId="12A7DDE8" w14:textId="77777777" w:rsidR="00A368C6" w:rsidRPr="00A42F1C" w:rsidRDefault="00A368C6" w:rsidP="00A368C6">
            <w:pPr>
              <w:pStyle w:val="BodyText1"/>
              <w:numPr>
                <w:ilvl w:val="0"/>
                <w:numId w:val="29"/>
              </w:numPr>
              <w:ind w:left="455" w:hanging="425"/>
              <w:jc w:val="both"/>
              <w:rPr>
                <w:rFonts w:asciiTheme="minorHAnsi" w:hAnsiTheme="minorHAnsi" w:cstheme="minorHAnsi"/>
                <w:sz w:val="24"/>
                <w:szCs w:val="24"/>
              </w:rPr>
            </w:pPr>
            <w:r w:rsidRPr="00A42F1C">
              <w:rPr>
                <w:rFonts w:asciiTheme="minorHAnsi" w:hAnsiTheme="minorHAnsi" w:cstheme="minorHAnsi"/>
                <w:sz w:val="24"/>
                <w:szCs w:val="24"/>
              </w:rPr>
              <w:t>Composite condition for percentage reduction (optional)</w:t>
            </w:r>
            <w:r>
              <w:rPr>
                <w:rFonts w:asciiTheme="minorHAnsi" w:hAnsiTheme="minorHAnsi" w:cstheme="minorHAnsi"/>
                <w:sz w:val="24"/>
                <w:szCs w:val="24"/>
              </w:rPr>
              <w:t>.</w:t>
            </w:r>
          </w:p>
        </w:tc>
      </w:tr>
      <w:tr w:rsidR="00A368C6" w:rsidRPr="002D7C3E" w14:paraId="7063A7F5" w14:textId="77777777" w:rsidTr="00A368C6">
        <w:trPr>
          <w:cantSplit/>
        </w:trPr>
        <w:tc>
          <w:tcPr>
            <w:tcW w:w="169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CA05450" w14:textId="77777777" w:rsidR="00A368C6" w:rsidRPr="00F51E49" w:rsidRDefault="00A368C6" w:rsidP="005A5680">
            <w:pPr>
              <w:pStyle w:val="BodyText1"/>
              <w:jc w:val="both"/>
              <w:rPr>
                <w:rFonts w:asciiTheme="minorHAnsi" w:hAnsiTheme="minorHAnsi" w:cstheme="minorHAnsi"/>
                <w:sz w:val="24"/>
                <w:szCs w:val="24"/>
              </w:rPr>
            </w:pPr>
            <w:r>
              <w:rPr>
                <w:rFonts w:asciiTheme="minorHAnsi" w:hAnsiTheme="minorHAnsi" w:cstheme="minorHAnsi"/>
                <w:sz w:val="24"/>
                <w:szCs w:val="24"/>
              </w:rPr>
              <w:lastRenderedPageBreak/>
              <w:t>&lt;</w:t>
            </w:r>
            <w:r w:rsidRPr="00F51E49">
              <w:rPr>
                <w:rFonts w:asciiTheme="minorHAnsi" w:hAnsiTheme="minorHAnsi" w:cstheme="minorHAnsi"/>
                <w:sz w:val="24"/>
                <w:szCs w:val="24"/>
              </w:rPr>
              <w:t>2,000 pe to rivers and estuaries</w:t>
            </w:r>
            <w:r w:rsidRPr="00F51E49">
              <w:rPr>
                <w:rFonts w:asciiTheme="minorHAnsi" w:hAnsiTheme="minorHAnsi" w:cstheme="minorHAnsi"/>
                <w:sz w:val="24"/>
                <w:szCs w:val="24"/>
              </w:rPr>
              <w:br/>
              <w:t>&lt;10,000 pe to coastal waters</w:t>
            </w:r>
            <w:r>
              <w:rPr>
                <w:rFonts w:asciiTheme="minorHAnsi" w:hAnsiTheme="minorHAnsi" w:cstheme="minorHAnsi"/>
                <w:sz w:val="24"/>
                <w:szCs w:val="24"/>
              </w:rPr>
              <w:t>/ No</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CF6ADD" w14:textId="77777777" w:rsidR="00A368C6" w:rsidRPr="00F51E49" w:rsidRDefault="00A368C6" w:rsidP="005A5680">
            <w:pPr>
              <w:pStyle w:val="BodyText1"/>
              <w:jc w:val="both"/>
              <w:rPr>
                <w:rFonts w:asciiTheme="minorHAnsi" w:hAnsiTheme="minorHAnsi" w:cstheme="minorHAnsi"/>
                <w:sz w:val="24"/>
                <w:szCs w:val="24"/>
              </w:rPr>
            </w:pPr>
            <w:r w:rsidRPr="00F51E49">
              <w:rPr>
                <w:rFonts w:asciiTheme="minorHAnsi" w:hAnsiTheme="minorHAnsi" w:cstheme="minorHAnsi"/>
                <w:sz w:val="24"/>
                <w:szCs w:val="24"/>
              </w:rPr>
              <w:t>Secondary</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43660C" w14:textId="77777777" w:rsidR="00A368C6" w:rsidRDefault="00A368C6" w:rsidP="00A368C6">
            <w:pPr>
              <w:pStyle w:val="BodyText1"/>
              <w:numPr>
                <w:ilvl w:val="0"/>
                <w:numId w:val="30"/>
              </w:numPr>
              <w:ind w:left="464" w:hanging="425"/>
              <w:jc w:val="both"/>
              <w:rPr>
                <w:rFonts w:asciiTheme="minorHAnsi" w:hAnsiTheme="minorHAnsi" w:cstheme="minorHAnsi"/>
                <w:sz w:val="24"/>
                <w:szCs w:val="24"/>
              </w:rPr>
            </w:pPr>
            <w:r w:rsidRPr="00F51E49">
              <w:rPr>
                <w:rFonts w:asciiTheme="minorHAnsi" w:hAnsiTheme="minorHAnsi" w:cstheme="minorHAnsi"/>
                <w:sz w:val="24"/>
                <w:szCs w:val="24"/>
              </w:rPr>
              <w:t>Instantaneous 95%ile and upper-tier</w:t>
            </w:r>
            <w:r w:rsidRPr="00340ECD">
              <w:t>1</w:t>
            </w:r>
            <w:r w:rsidRPr="00F51E49">
              <w:rPr>
                <w:rFonts w:asciiTheme="minorHAnsi" w:hAnsiTheme="minorHAnsi" w:cstheme="minorHAnsi"/>
                <w:sz w:val="24"/>
                <w:szCs w:val="24"/>
              </w:rPr>
              <w:t xml:space="preserve"> set to protect receiving water - for example BOD &amp; ammonia standards.</w:t>
            </w:r>
          </w:p>
          <w:p w14:paraId="79AE91F4" w14:textId="77777777" w:rsidR="00A368C6" w:rsidRPr="00F51E49" w:rsidRDefault="00A368C6" w:rsidP="00A368C6">
            <w:pPr>
              <w:pStyle w:val="BodyText1"/>
              <w:numPr>
                <w:ilvl w:val="0"/>
                <w:numId w:val="30"/>
              </w:numPr>
              <w:ind w:left="464" w:hanging="425"/>
              <w:jc w:val="both"/>
              <w:rPr>
                <w:rFonts w:asciiTheme="minorHAnsi" w:hAnsiTheme="minorHAnsi" w:cstheme="minorHAnsi"/>
                <w:sz w:val="24"/>
                <w:szCs w:val="24"/>
              </w:rPr>
            </w:pPr>
            <w:r w:rsidRPr="00F51E49">
              <w:rPr>
                <w:rFonts w:asciiTheme="minorHAnsi" w:hAnsiTheme="minorHAnsi" w:cstheme="minorHAnsi"/>
                <w:sz w:val="24"/>
                <w:szCs w:val="24"/>
              </w:rPr>
              <w:t>Instantaneous upper-tier 100 mg/l TSS for secondary/tertiary works.</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22354D" w14:textId="77777777" w:rsidR="00A368C6" w:rsidRPr="00F51E49" w:rsidRDefault="00A368C6" w:rsidP="005A5680">
            <w:pPr>
              <w:pStyle w:val="BodyText1"/>
              <w:jc w:val="both"/>
              <w:rPr>
                <w:rFonts w:asciiTheme="minorHAnsi" w:hAnsiTheme="minorHAnsi" w:cstheme="minorHAnsi"/>
                <w:sz w:val="24"/>
                <w:szCs w:val="24"/>
              </w:rPr>
            </w:pPr>
            <w:r w:rsidRPr="00F51E49">
              <w:rPr>
                <w:rFonts w:asciiTheme="minorHAnsi" w:hAnsiTheme="minorHAnsi" w:cstheme="minorHAnsi"/>
                <w:sz w:val="24"/>
                <w:szCs w:val="24"/>
              </w:rPr>
              <w:t>None</w:t>
            </w:r>
          </w:p>
        </w:tc>
      </w:tr>
      <w:tr w:rsidR="00A368C6" w:rsidRPr="002D7C3E" w14:paraId="4CCB43A4" w14:textId="77777777" w:rsidTr="00A368C6">
        <w:trPr>
          <w:cantSplit/>
        </w:trPr>
        <w:tc>
          <w:tcPr>
            <w:tcW w:w="169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A2F4BCE" w14:textId="77777777" w:rsidR="00A368C6" w:rsidRPr="00F51E49" w:rsidRDefault="00A368C6" w:rsidP="005A5680">
            <w:pPr>
              <w:pStyle w:val="BodyText1"/>
              <w:jc w:val="both"/>
              <w:rPr>
                <w:rFonts w:cstheme="minorHAnsi"/>
              </w:rPr>
            </w:pPr>
            <w:r w:rsidRPr="00F51E49">
              <w:rPr>
                <w:rFonts w:asciiTheme="minorHAnsi" w:hAnsiTheme="minorHAnsi" w:cstheme="minorHAnsi"/>
                <w:sz w:val="24"/>
                <w:szCs w:val="24"/>
              </w:rPr>
              <w:t>2,000 pe to rivers and estuaries</w:t>
            </w:r>
            <w:r w:rsidRPr="00F51E49">
              <w:rPr>
                <w:rFonts w:asciiTheme="minorHAnsi" w:hAnsiTheme="minorHAnsi" w:cstheme="minorHAnsi"/>
                <w:sz w:val="24"/>
                <w:szCs w:val="24"/>
              </w:rPr>
              <w:br/>
              <w:t>&lt;10,000 pe to coastal waters</w:t>
            </w:r>
            <w:r>
              <w:rPr>
                <w:rFonts w:asciiTheme="minorHAnsi" w:hAnsiTheme="minorHAnsi" w:cstheme="minorHAnsi"/>
                <w:sz w:val="24"/>
                <w:szCs w:val="24"/>
              </w:rPr>
              <w:t>/No</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7BE398" w14:textId="77777777" w:rsidR="00A368C6" w:rsidRPr="00F51E49" w:rsidRDefault="00A368C6" w:rsidP="005A5680">
            <w:pPr>
              <w:pStyle w:val="BodyText1"/>
              <w:jc w:val="both"/>
              <w:rPr>
                <w:rFonts w:cstheme="minorHAnsi"/>
              </w:rPr>
            </w:pPr>
            <w:r>
              <w:rPr>
                <w:rFonts w:asciiTheme="minorHAnsi" w:hAnsiTheme="minorHAnsi" w:cstheme="minorHAnsi"/>
                <w:sz w:val="24"/>
                <w:szCs w:val="24"/>
              </w:rPr>
              <w:t>Primary</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D71C2F" w14:textId="77777777" w:rsidR="00A368C6" w:rsidRPr="00D30B0A" w:rsidRDefault="00A368C6" w:rsidP="00A368C6">
            <w:pPr>
              <w:pStyle w:val="BodyText1"/>
              <w:numPr>
                <w:ilvl w:val="0"/>
                <w:numId w:val="31"/>
              </w:numPr>
              <w:ind w:left="464" w:hanging="425"/>
              <w:jc w:val="both"/>
              <w:rPr>
                <w:rFonts w:ascii="Arial" w:hAnsi="Arial" w:cs="Arial"/>
                <w:sz w:val="24"/>
                <w:szCs w:val="24"/>
              </w:rPr>
            </w:pPr>
            <w:r w:rsidRPr="00D30B0A">
              <w:rPr>
                <w:rFonts w:ascii="Arial" w:hAnsi="Arial" w:cs="Arial"/>
                <w:sz w:val="24"/>
                <w:szCs w:val="24"/>
              </w:rPr>
              <w:t>If sampled, instantaneous 95%ile and upper-tier TSS standards set to protect receiving water (usually 100/250mg/l)</w:t>
            </w:r>
            <w:r>
              <w:rPr>
                <w:rFonts w:ascii="Arial" w:hAnsi="Arial" w:cs="Arial"/>
                <w:sz w:val="24"/>
                <w:szCs w:val="24"/>
              </w:rPr>
              <w:t>.</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60E203" w14:textId="77777777" w:rsidR="00A368C6" w:rsidRPr="00D30B0A" w:rsidRDefault="00A368C6" w:rsidP="005A5680">
            <w:pPr>
              <w:pStyle w:val="BodyText1"/>
              <w:jc w:val="both"/>
              <w:rPr>
                <w:rFonts w:ascii="Arial" w:hAnsi="Arial" w:cs="Arial"/>
                <w:sz w:val="24"/>
                <w:szCs w:val="24"/>
              </w:rPr>
            </w:pPr>
            <w:r w:rsidRPr="00D30B0A">
              <w:rPr>
                <w:rFonts w:ascii="Arial" w:hAnsi="Arial" w:cs="Arial"/>
                <w:sz w:val="24"/>
                <w:szCs w:val="24"/>
              </w:rPr>
              <w:t>None</w:t>
            </w:r>
          </w:p>
        </w:tc>
      </w:tr>
    </w:tbl>
    <w:p w14:paraId="3C013B00" w14:textId="77777777" w:rsidR="00A368C6" w:rsidRDefault="00A368C6" w:rsidP="00A368C6">
      <w:pPr>
        <w:pStyle w:val="BodyText1"/>
        <w:rPr>
          <w:b/>
          <w:bCs/>
        </w:rPr>
      </w:pPr>
    </w:p>
    <w:p w14:paraId="630CC0D5" w14:textId="085597C7" w:rsidR="00A368C6" w:rsidRDefault="00A368C6" w:rsidP="00A368C6">
      <w:pPr>
        <w:pStyle w:val="BodyText1"/>
      </w:pPr>
      <w:r w:rsidRPr="00A368C6">
        <w:rPr>
          <w:vertAlign w:val="superscript"/>
        </w:rPr>
        <w:t xml:space="preserve">1 </w:t>
      </w:r>
      <w:r w:rsidRPr="00A368C6">
        <w:t xml:space="preserve">Upper-tier: 95 percentile multipliers vary according to value of lower tier. </w:t>
      </w:r>
    </w:p>
    <w:p w14:paraId="2FA164E0" w14:textId="09EC5300" w:rsidR="00A368C6" w:rsidRDefault="00A368C6" w:rsidP="00A368C6">
      <w:pPr>
        <w:pStyle w:val="BodyText1"/>
      </w:pPr>
      <w:r w:rsidRPr="00A368C6">
        <w:rPr>
          <w:vertAlign w:val="superscript"/>
        </w:rPr>
        <w:t xml:space="preserve">2 </w:t>
      </w:r>
      <w:r>
        <w:t xml:space="preserve">UWWT secondary treatment condition and nutrient conditions specified in UWWTR &amp; </w:t>
      </w:r>
      <w:r w:rsidR="000033B0">
        <w:t>permit</w:t>
      </w:r>
      <w:r>
        <w:t xml:space="preserve"> template. </w:t>
      </w:r>
    </w:p>
    <w:p w14:paraId="14370FEE" w14:textId="77777777" w:rsidR="00A368C6" w:rsidRPr="00F44D1F" w:rsidRDefault="00A368C6" w:rsidP="00A368C6">
      <w:pPr>
        <w:pStyle w:val="Heading2"/>
      </w:pPr>
      <w:bookmarkStart w:id="149" w:name="_Toc184195313"/>
      <w:bookmarkStart w:id="150" w:name="_Toc193873873"/>
      <w:r w:rsidRPr="00F44D1F">
        <w:lastRenderedPageBreak/>
        <w:t>5.6</w:t>
      </w:r>
      <w:r w:rsidRPr="00F44D1F">
        <w:tab/>
        <w:t>Composite samples</w:t>
      </w:r>
      <w:bookmarkEnd w:id="149"/>
      <w:bookmarkEnd w:id="150"/>
      <w:r w:rsidRPr="00F44D1F">
        <w:t xml:space="preserve"> </w:t>
      </w:r>
    </w:p>
    <w:p w14:paraId="1F6ACFF7" w14:textId="77777777" w:rsidR="00A368C6" w:rsidRPr="00F44D1F" w:rsidRDefault="00A368C6" w:rsidP="00A368C6">
      <w:pPr>
        <w:pStyle w:val="Heading3"/>
      </w:pPr>
      <w:bookmarkStart w:id="151" w:name="_Toc184195314"/>
      <w:bookmarkStart w:id="152" w:name="_Toc193873874"/>
      <w:r w:rsidRPr="00F44D1F">
        <w:t>5.6.1</w:t>
      </w:r>
      <w:r w:rsidRPr="00F44D1F">
        <w:tab/>
        <w:t xml:space="preserve">Types of </w:t>
      </w:r>
      <w:r>
        <w:t>c</w:t>
      </w:r>
      <w:r w:rsidRPr="00F44D1F">
        <w:t>omposite samples</w:t>
      </w:r>
      <w:bookmarkEnd w:id="151"/>
      <w:bookmarkEnd w:id="152"/>
      <w:r>
        <w:t xml:space="preserve"> </w:t>
      </w:r>
    </w:p>
    <w:p w14:paraId="5FB8FA8A" w14:textId="77777777" w:rsidR="00A368C6" w:rsidRPr="00E53784" w:rsidRDefault="00A368C6" w:rsidP="00A368C6">
      <w:pPr>
        <w:pStyle w:val="BodyText1"/>
      </w:pPr>
      <w:r w:rsidRPr="00E53784">
        <w:t xml:space="preserve">Composite samples are described as two or more samples or sub-samples, </w:t>
      </w:r>
      <w:proofErr w:type="gramStart"/>
      <w:r w:rsidRPr="00E53784">
        <w:t>mixed together</w:t>
      </w:r>
      <w:proofErr w:type="gramEnd"/>
      <w:r w:rsidRPr="00E53784">
        <w:t xml:space="preserve"> in appropriate known proportions (either discretely or continuously), from which the average result of a desired requirement may be obtained. </w:t>
      </w:r>
    </w:p>
    <w:p w14:paraId="567068BB" w14:textId="77777777" w:rsidR="00A368C6" w:rsidRPr="00E53784" w:rsidRDefault="00A368C6" w:rsidP="00A368C6">
      <w:pPr>
        <w:pStyle w:val="BodyText1"/>
      </w:pPr>
      <w:r w:rsidRPr="00E53784">
        <w:t xml:space="preserve">The proportions are usually based on time or flow measurements. </w:t>
      </w:r>
    </w:p>
    <w:p w14:paraId="316EBDA7" w14:textId="77777777" w:rsidR="00A368C6" w:rsidRPr="00E53784" w:rsidRDefault="00A368C6" w:rsidP="00A368C6">
      <w:pPr>
        <w:pStyle w:val="BodyText1"/>
      </w:pPr>
      <w:r w:rsidRPr="00E53784">
        <w:t>Time based composite sampling is suitable for regular flow where there are minimal fluctuations in flow. This is the default sampling method used by Scottish Water and expected by SEPA.</w:t>
      </w:r>
    </w:p>
    <w:p w14:paraId="006E82D8" w14:textId="42055C4F" w:rsidR="00A368C6" w:rsidRPr="002D7C3E" w:rsidRDefault="00716D86" w:rsidP="00A368C6">
      <w:pPr>
        <w:pStyle w:val="BodyText1"/>
      </w:pPr>
      <w:r>
        <w:t xml:space="preserve">EASR </w:t>
      </w:r>
      <w:r w:rsidR="000033B0">
        <w:t>Permits</w:t>
      </w:r>
      <w:r w:rsidR="00A368C6" w:rsidRPr="002D7C3E">
        <w:t xml:space="preserve"> specify the start and end times of </w:t>
      </w:r>
      <w:proofErr w:type="gramStart"/>
      <w:r w:rsidR="00A368C6" w:rsidRPr="002D7C3E">
        <w:t>24 hour</w:t>
      </w:r>
      <w:proofErr w:type="gramEnd"/>
      <w:r w:rsidR="00A368C6" w:rsidRPr="002D7C3E">
        <w:t xml:space="preserve"> composite samples (normally 10:00 and 09:00 respectively). These times refer to GMT (all year round) with no adjustment of autosamplers being required to take account of BST. </w:t>
      </w:r>
    </w:p>
    <w:p w14:paraId="2A9E3D69" w14:textId="77777777" w:rsidR="00A368C6" w:rsidRPr="002D7C3E" w:rsidRDefault="00A368C6" w:rsidP="00A368C6">
      <w:pPr>
        <w:pStyle w:val="BodyText1"/>
      </w:pPr>
      <w:r w:rsidRPr="002D7C3E">
        <w:t xml:space="preserve">Flow proportional composite sampling is suitable for situations where irregular or erratic flows are experienced, i.e. batch processes or pumped inlets. </w:t>
      </w:r>
    </w:p>
    <w:p w14:paraId="13A6ADAE" w14:textId="77777777" w:rsidR="00A368C6" w:rsidRPr="002D7C3E" w:rsidRDefault="00A368C6" w:rsidP="00A368C6">
      <w:pPr>
        <w:pStyle w:val="BodyText1"/>
      </w:pPr>
      <w:r w:rsidRPr="002D7C3E">
        <w:t>There are 3 types of composite sampling</w:t>
      </w:r>
      <w:r>
        <w:t>:</w:t>
      </w:r>
      <w:r w:rsidRPr="002D7C3E">
        <w:t xml:space="preserve"> </w:t>
      </w:r>
    </w:p>
    <w:p w14:paraId="7C61A497" w14:textId="77777777" w:rsidR="00A368C6" w:rsidRPr="002D7C3E" w:rsidRDefault="00A368C6" w:rsidP="00A368C6">
      <w:pPr>
        <w:pStyle w:val="BodyText1"/>
        <w:numPr>
          <w:ilvl w:val="0"/>
          <w:numId w:val="33"/>
        </w:numPr>
      </w:pPr>
      <w:r w:rsidRPr="004522BD">
        <w:rPr>
          <w:rStyle w:val="Strong"/>
          <w:rFonts w:eastAsiaTheme="majorEastAsia"/>
        </w:rPr>
        <w:t>Constant Time Constant Volume Sampling</w:t>
      </w:r>
      <w:r w:rsidRPr="002D7C3E">
        <w:t xml:space="preserve"> (C.T.C.V.)</w:t>
      </w:r>
      <w:r>
        <w:t>. E</w:t>
      </w:r>
      <w:r w:rsidRPr="002D7C3E">
        <w:t>qual volumes of sample or sub-sample are collected at equal increments of time</w:t>
      </w:r>
      <w:r>
        <w:t>.</w:t>
      </w:r>
    </w:p>
    <w:p w14:paraId="48F43C23" w14:textId="77777777" w:rsidR="00A368C6" w:rsidRPr="002D7C3E" w:rsidRDefault="00A368C6" w:rsidP="00A368C6">
      <w:pPr>
        <w:pStyle w:val="BodyText1"/>
        <w:numPr>
          <w:ilvl w:val="0"/>
          <w:numId w:val="33"/>
        </w:numPr>
      </w:pPr>
      <w:r w:rsidRPr="00BF363B">
        <w:rPr>
          <w:rStyle w:val="Strong"/>
          <w:rFonts w:eastAsiaTheme="majorEastAsia"/>
        </w:rPr>
        <w:t>Constant Volume Variable Time Sampling</w:t>
      </w:r>
      <w:r w:rsidRPr="002D7C3E">
        <w:t xml:space="preserve"> (C.V.V.T.)</w:t>
      </w:r>
      <w:r>
        <w:t>. F</w:t>
      </w:r>
      <w:r w:rsidRPr="002D7C3E">
        <w:t>low proportional sampling is based on collecting equal volumes of sample at frequencies proportional to flow</w:t>
      </w:r>
      <w:r>
        <w:t>.</w:t>
      </w:r>
      <w:r w:rsidRPr="002D7C3E">
        <w:t xml:space="preserve"> </w:t>
      </w:r>
    </w:p>
    <w:p w14:paraId="5CB3F5F0" w14:textId="77777777" w:rsidR="00A368C6" w:rsidRPr="002D7C3E" w:rsidRDefault="00A368C6" w:rsidP="00A368C6">
      <w:pPr>
        <w:pStyle w:val="BodyText1"/>
        <w:numPr>
          <w:ilvl w:val="0"/>
          <w:numId w:val="33"/>
        </w:numPr>
      </w:pPr>
      <w:r w:rsidRPr="0078376A">
        <w:rPr>
          <w:rStyle w:val="Strong"/>
          <w:rFonts w:eastAsiaTheme="majorEastAsia"/>
        </w:rPr>
        <w:t>Constant Time Variable Volume Sampling</w:t>
      </w:r>
      <w:r w:rsidRPr="002D7C3E">
        <w:t xml:space="preserve"> (C.T.V.V.)</w:t>
      </w:r>
      <w:r>
        <w:t>. F</w:t>
      </w:r>
      <w:r w:rsidRPr="002D7C3E">
        <w:t xml:space="preserve">low proportional sampling is based on collecting samples at fixed time </w:t>
      </w:r>
      <w:proofErr w:type="gramStart"/>
      <w:r w:rsidRPr="002D7C3E">
        <w:t>intervals</w:t>
      </w:r>
      <w:proofErr w:type="gramEnd"/>
      <w:r w:rsidRPr="002D7C3E">
        <w:t xml:space="preserve"> but the volume of sample is varied in proportion to the flow</w:t>
      </w:r>
      <w:r>
        <w:t>.</w:t>
      </w:r>
      <w:r w:rsidRPr="002D7C3E">
        <w:t xml:space="preserve"> </w:t>
      </w:r>
    </w:p>
    <w:p w14:paraId="7EEECF40" w14:textId="77777777" w:rsidR="00A368C6" w:rsidRPr="002D7C3E" w:rsidRDefault="00A368C6" w:rsidP="00A368C6">
      <w:pPr>
        <w:pStyle w:val="BodyText1"/>
      </w:pPr>
      <w:r w:rsidRPr="002D7C3E">
        <w:t>The most appropriate composite sampling method should be used to assess the quality of the influent and final effluent, e.g. if flow proportional sampling provides a more representative sample than time-based sampling then flow proportional sampling should be used.</w:t>
      </w:r>
    </w:p>
    <w:p w14:paraId="2A91CD00" w14:textId="77777777" w:rsidR="00A368C6" w:rsidRPr="002D7C3E" w:rsidRDefault="00A368C6" w:rsidP="00A368C6">
      <w:pPr>
        <w:pStyle w:val="BodyText1"/>
      </w:pPr>
      <w:r w:rsidRPr="002D7C3E">
        <w:lastRenderedPageBreak/>
        <w:t xml:space="preserve">There may be situations where a combination of flow-proportional and time-based sampling are utilised on the same site.  </w:t>
      </w:r>
    </w:p>
    <w:p w14:paraId="3672517E" w14:textId="77777777" w:rsidR="00A368C6" w:rsidRPr="002D7C3E" w:rsidRDefault="00A368C6" w:rsidP="00A368C6">
      <w:pPr>
        <w:pStyle w:val="BodyText1"/>
      </w:pPr>
      <w:r w:rsidRPr="002D7C3E">
        <w:t xml:space="preserve">The operator will need to satisfy SEPA that their proposals will ensure that representative samples are obtained. </w:t>
      </w:r>
    </w:p>
    <w:p w14:paraId="5AAD161B" w14:textId="77777777" w:rsidR="00A368C6" w:rsidRPr="000F0490" w:rsidRDefault="00A368C6" w:rsidP="00A368C6">
      <w:pPr>
        <w:pStyle w:val="Heading3"/>
      </w:pPr>
      <w:bookmarkStart w:id="153" w:name="_Toc184195315"/>
      <w:bookmarkStart w:id="154" w:name="_Toc193873875"/>
      <w:r w:rsidRPr="000F0490">
        <w:t>5.6.2</w:t>
      </w:r>
      <w:r w:rsidRPr="000F0490">
        <w:tab/>
        <w:t>Minimum sample volume</w:t>
      </w:r>
      <w:bookmarkEnd w:id="153"/>
      <w:bookmarkEnd w:id="154"/>
    </w:p>
    <w:p w14:paraId="3D35E0A7" w14:textId="77777777" w:rsidR="00A368C6" w:rsidRPr="002D7C3E" w:rsidRDefault="00A368C6" w:rsidP="00A368C6">
      <w:pPr>
        <w:pStyle w:val="BodyText1"/>
      </w:pPr>
      <w:r w:rsidRPr="002D7C3E">
        <w:t>For automatic sampling equipment installed prior to 2016 there is no minimum sample volume requirement for UWWTR.</w:t>
      </w:r>
    </w:p>
    <w:p w14:paraId="56F82E26" w14:textId="77777777" w:rsidR="00A368C6" w:rsidRPr="002D7C3E" w:rsidRDefault="00A368C6" w:rsidP="00A368C6">
      <w:pPr>
        <w:pStyle w:val="BodyText1"/>
      </w:pPr>
      <w:r w:rsidRPr="002D7C3E">
        <w:t>For new or replacement automatic sampling equipment a minimum sample volume of 3 litres is required for UWWTR purposes.</w:t>
      </w:r>
    </w:p>
    <w:p w14:paraId="0A0F4C96" w14:textId="77777777" w:rsidR="00A368C6" w:rsidRPr="00D92B53" w:rsidRDefault="00A368C6" w:rsidP="00A368C6">
      <w:pPr>
        <w:pStyle w:val="Heading3"/>
      </w:pPr>
      <w:bookmarkStart w:id="155" w:name="_Toc184195316"/>
      <w:bookmarkStart w:id="156" w:name="_Toc193873876"/>
      <w:r w:rsidRPr="00D92B53">
        <w:t>5.6.3</w:t>
      </w:r>
      <w:r w:rsidRPr="00D92B53">
        <w:tab/>
        <w:t>Temperature requirements</w:t>
      </w:r>
      <w:bookmarkEnd w:id="155"/>
      <w:bookmarkEnd w:id="156"/>
    </w:p>
    <w:p w14:paraId="07F9D5BC" w14:textId="77777777" w:rsidR="00A368C6" w:rsidRPr="0056279C" w:rsidRDefault="00A368C6" w:rsidP="00A368C6">
      <w:pPr>
        <w:pStyle w:val="BodyText1"/>
      </w:pPr>
      <w:r w:rsidRPr="0056279C">
        <w:t>Automatic sampling equipment installed prior to 2016 should maintain a sample at a temperature above freezing but below 4</w:t>
      </w:r>
      <w:r w:rsidRPr="0056279C">
        <w:rPr>
          <w:vertAlign w:val="superscript"/>
        </w:rPr>
        <w:t>o</w:t>
      </w:r>
      <w:r w:rsidRPr="0056279C">
        <w:t xml:space="preserve">C. </w:t>
      </w:r>
    </w:p>
    <w:p w14:paraId="16894C77" w14:textId="77777777" w:rsidR="00A368C6" w:rsidRPr="002D7C3E" w:rsidRDefault="00A368C6" w:rsidP="00A368C6">
      <w:pPr>
        <w:pStyle w:val="BodyText1"/>
      </w:pPr>
      <w:r w:rsidRPr="0056279C">
        <w:t>New or replacement automatic sampling equipment should be designed and guaranteed to maintain a sample between 0 and 5°C prior to transportation</w:t>
      </w:r>
      <w:r w:rsidRPr="0056279C">
        <w:rPr>
          <w:rStyle w:val="FootnoteReference"/>
          <w:rFonts w:eastAsiaTheme="majorEastAsia"/>
        </w:rPr>
        <w:footnoteReference w:id="3"/>
      </w:r>
      <w:r w:rsidRPr="0056279C">
        <w:t>, as required by the British Standard BS EN 16749. Where the composite sample is removed from the automatic sampling equipment it should be stored in compliance with BS EN 16749 prior to collection.</w:t>
      </w:r>
    </w:p>
    <w:p w14:paraId="2C47296E" w14:textId="77777777" w:rsidR="00A368C6" w:rsidRPr="00F44A29" w:rsidRDefault="00A368C6" w:rsidP="00A368C6">
      <w:pPr>
        <w:pStyle w:val="Heading1"/>
      </w:pPr>
      <w:bookmarkStart w:id="157" w:name="_Toc364167833"/>
      <w:bookmarkStart w:id="158" w:name="_Ref364170776"/>
      <w:bookmarkStart w:id="159" w:name="_Toc174697478"/>
      <w:bookmarkStart w:id="160" w:name="_Toc184195317"/>
      <w:bookmarkStart w:id="161" w:name="_Toc193873877"/>
      <w:r>
        <w:t>6.</w:t>
      </w:r>
      <w:r>
        <w:tab/>
      </w:r>
      <w:r w:rsidRPr="00F44A29">
        <w:t xml:space="preserve">Chemical </w:t>
      </w:r>
      <w:r>
        <w:t>d</w:t>
      </w:r>
      <w:r w:rsidRPr="00F44A29">
        <w:t xml:space="preserve">osing and </w:t>
      </w:r>
      <w:r>
        <w:t>n</w:t>
      </w:r>
      <w:r w:rsidRPr="00F44A29">
        <w:t xml:space="preserve">utrient </w:t>
      </w:r>
      <w:r>
        <w:t>s</w:t>
      </w:r>
      <w:r w:rsidRPr="00F44A29">
        <w:t>tandards</w:t>
      </w:r>
      <w:bookmarkEnd w:id="157"/>
      <w:bookmarkEnd w:id="158"/>
      <w:bookmarkEnd w:id="159"/>
      <w:bookmarkEnd w:id="160"/>
      <w:bookmarkEnd w:id="161"/>
    </w:p>
    <w:p w14:paraId="410D1D47" w14:textId="77777777" w:rsidR="00A368C6" w:rsidRPr="00F44A29" w:rsidRDefault="00A368C6" w:rsidP="00A368C6">
      <w:pPr>
        <w:pStyle w:val="Heading2"/>
      </w:pPr>
      <w:bookmarkStart w:id="162" w:name="_Toc174697479"/>
      <w:bookmarkStart w:id="163" w:name="_Toc184195318"/>
      <w:bookmarkStart w:id="164" w:name="_Toc193873878"/>
      <w:r w:rsidRPr="00F44A29">
        <w:t>6.1</w:t>
      </w:r>
      <w:r w:rsidRPr="00F44A29">
        <w:tab/>
        <w:t xml:space="preserve">Chemical </w:t>
      </w:r>
      <w:r>
        <w:t>d</w:t>
      </w:r>
      <w:r w:rsidRPr="00F44A29">
        <w:t>osing</w:t>
      </w:r>
      <w:bookmarkEnd w:id="162"/>
      <w:bookmarkEnd w:id="163"/>
      <w:bookmarkEnd w:id="164"/>
    </w:p>
    <w:p w14:paraId="2F290F1A" w14:textId="77777777" w:rsidR="00A368C6" w:rsidRPr="00E1168F" w:rsidRDefault="00A368C6" w:rsidP="00A368C6">
      <w:pPr>
        <w:pStyle w:val="BodyText1"/>
      </w:pPr>
      <w:r w:rsidRPr="00E1168F">
        <w:t xml:space="preserve">Any application for chemical dosing must justify its use over non-chemical alternatives. The application to use any chemical must be accompanied by a proportionate risk assessment to show that environmental standards will be met and that there will be no impact on other water users. Potential by-products generated </w:t>
      </w:r>
      <w:proofErr w:type="gramStart"/>
      <w:r w:rsidRPr="00E1168F">
        <w:t>by the use of</w:t>
      </w:r>
      <w:proofErr w:type="gramEnd"/>
      <w:r w:rsidRPr="00E1168F">
        <w:t xml:space="preserve"> the chemical must be considered.  </w:t>
      </w:r>
    </w:p>
    <w:p w14:paraId="553517E9" w14:textId="77777777" w:rsidR="00A368C6" w:rsidRPr="0082003C" w:rsidRDefault="00A368C6" w:rsidP="00A368C6">
      <w:pPr>
        <w:pStyle w:val="Heading3"/>
      </w:pPr>
      <w:bookmarkStart w:id="165" w:name="_Toc184195319"/>
      <w:bookmarkStart w:id="166" w:name="_Toc193873879"/>
      <w:bookmarkStart w:id="167" w:name="_Hlk119319713"/>
      <w:r w:rsidRPr="0082003C">
        <w:lastRenderedPageBreak/>
        <w:t>6.1.1</w:t>
      </w:r>
      <w:r w:rsidRPr="0082003C">
        <w:tab/>
        <w:t xml:space="preserve">Chemical </w:t>
      </w:r>
      <w:r>
        <w:t>t</w:t>
      </w:r>
      <w:r w:rsidRPr="0082003C">
        <w:t>ypes</w:t>
      </w:r>
      <w:bookmarkEnd w:id="165"/>
      <w:bookmarkEnd w:id="166"/>
    </w:p>
    <w:bookmarkEnd w:id="167"/>
    <w:p w14:paraId="70E319B6" w14:textId="02A3A62D" w:rsidR="00A368C6" w:rsidRPr="00E1168F" w:rsidRDefault="00A368C6" w:rsidP="00A368C6">
      <w:pPr>
        <w:pStyle w:val="BodyText1"/>
      </w:pPr>
      <w:r w:rsidRPr="00E1168F">
        <w:t xml:space="preserve">The operator can use chemical dosing at STWs for a variety of reasons including meeting BOD, suspended solids and phosphorus </w:t>
      </w:r>
      <w:r w:rsidR="000033B0">
        <w:t>permit</w:t>
      </w:r>
      <w:r w:rsidRPr="00E1168F">
        <w:t xml:space="preserve"> limits, pH correction, septicity/odour control, sludge thickening and dewatering.</w:t>
      </w:r>
    </w:p>
    <w:p w14:paraId="535E53AD" w14:textId="77777777" w:rsidR="00A368C6" w:rsidRPr="00E1168F" w:rsidRDefault="00A368C6" w:rsidP="00A368C6">
      <w:pPr>
        <w:pStyle w:val="BodyText1"/>
      </w:pPr>
      <w:r w:rsidRPr="00E1168F">
        <w:t xml:space="preserve">Chemicals can be: </w:t>
      </w:r>
    </w:p>
    <w:p w14:paraId="64BCF7BA" w14:textId="77777777" w:rsidR="00A368C6" w:rsidRPr="00E1168F" w:rsidRDefault="00A368C6" w:rsidP="00A368C6">
      <w:pPr>
        <w:pStyle w:val="BodyText1"/>
        <w:numPr>
          <w:ilvl w:val="0"/>
          <w:numId w:val="34"/>
        </w:numPr>
      </w:pPr>
      <w:r w:rsidRPr="00E1168F">
        <w:t xml:space="preserve">Iron based. </w:t>
      </w:r>
    </w:p>
    <w:p w14:paraId="40787948" w14:textId="77777777" w:rsidR="00A368C6" w:rsidRPr="00E1168F" w:rsidRDefault="00A368C6" w:rsidP="00A368C6">
      <w:pPr>
        <w:pStyle w:val="BodyText1"/>
        <w:numPr>
          <w:ilvl w:val="0"/>
          <w:numId w:val="34"/>
        </w:numPr>
      </w:pPr>
      <w:r w:rsidRPr="00E1168F">
        <w:t xml:space="preserve">Aluminium based; or </w:t>
      </w:r>
    </w:p>
    <w:p w14:paraId="68D18968" w14:textId="77777777" w:rsidR="00A368C6" w:rsidRPr="00E1168F" w:rsidRDefault="00A368C6" w:rsidP="00A368C6">
      <w:pPr>
        <w:pStyle w:val="BodyText1"/>
        <w:numPr>
          <w:ilvl w:val="0"/>
          <w:numId w:val="34"/>
        </w:numPr>
      </w:pPr>
      <w:r w:rsidRPr="00E1168F">
        <w:t xml:space="preserve">Other products such as tannins, caustic, sodium hypochlorite, polymers etc. </w:t>
      </w:r>
    </w:p>
    <w:p w14:paraId="49915B35" w14:textId="77777777" w:rsidR="00A368C6" w:rsidRPr="002C4F53" w:rsidRDefault="00A368C6" w:rsidP="00A368C6">
      <w:pPr>
        <w:pStyle w:val="Heading3"/>
      </w:pPr>
      <w:bookmarkStart w:id="168" w:name="_Toc184195320"/>
      <w:bookmarkStart w:id="169" w:name="_Toc193873880"/>
      <w:r w:rsidRPr="002C4F53">
        <w:t>6.1.2</w:t>
      </w:r>
      <w:r w:rsidRPr="002C4F53">
        <w:tab/>
        <w:t xml:space="preserve">Chemical </w:t>
      </w:r>
      <w:r>
        <w:t>u</w:t>
      </w:r>
      <w:r w:rsidRPr="002C4F53">
        <w:t>se</w:t>
      </w:r>
      <w:bookmarkStart w:id="170" w:name="_Hlk119320053"/>
      <w:bookmarkEnd w:id="168"/>
      <w:bookmarkEnd w:id="169"/>
    </w:p>
    <w:p w14:paraId="6864E6D4" w14:textId="77777777" w:rsidR="00A368C6" w:rsidRPr="002D7C3E" w:rsidRDefault="00A368C6" w:rsidP="00A368C6">
      <w:pPr>
        <w:pStyle w:val="Heading4"/>
      </w:pPr>
      <w:r w:rsidRPr="002D7C3E">
        <w:t xml:space="preserve">Regular </w:t>
      </w:r>
      <w:r>
        <w:t>r</w:t>
      </w:r>
      <w:r w:rsidRPr="002D7C3E">
        <w:t xml:space="preserve">outine </w:t>
      </w:r>
    </w:p>
    <w:p w14:paraId="01F84669" w14:textId="46558D17" w:rsidR="00A368C6" w:rsidRPr="00E1168F" w:rsidRDefault="00A368C6" w:rsidP="00A368C6">
      <w:pPr>
        <w:pStyle w:val="BodyText1"/>
      </w:pPr>
      <w:r w:rsidRPr="00E1168F">
        <w:t xml:space="preserve">This is defined as chemical use lasting greater than 4 months in a rolling year.  Chemical use </w:t>
      </w:r>
      <w:r w:rsidR="00510A83">
        <w:t>will</w:t>
      </w:r>
      <w:r w:rsidRPr="00E1168F">
        <w:t xml:space="preserve"> be </w:t>
      </w:r>
      <w:r w:rsidR="00B360A6">
        <w:t>permitted</w:t>
      </w:r>
      <w:r w:rsidRPr="00E1168F">
        <w:t xml:space="preserve"> in accordance with the guidance below.</w:t>
      </w:r>
    </w:p>
    <w:bookmarkEnd w:id="170"/>
    <w:p w14:paraId="2CB1D322" w14:textId="77777777" w:rsidR="00A368C6" w:rsidRPr="002D7C3E" w:rsidRDefault="00A368C6" w:rsidP="00A368C6">
      <w:pPr>
        <w:pStyle w:val="Heading4"/>
      </w:pPr>
      <w:r w:rsidRPr="002D7C3E">
        <w:t xml:space="preserve">Regular </w:t>
      </w:r>
      <w:r>
        <w:t>i</w:t>
      </w:r>
      <w:r w:rsidRPr="002D7C3E">
        <w:t xml:space="preserve">ntermittent </w:t>
      </w:r>
    </w:p>
    <w:p w14:paraId="3CFD808B" w14:textId="0E118988" w:rsidR="00A368C6" w:rsidRPr="002D7C3E" w:rsidRDefault="00A368C6" w:rsidP="00A368C6">
      <w:pPr>
        <w:pStyle w:val="BodyText1"/>
      </w:pPr>
      <w:r w:rsidRPr="002D7C3E">
        <w:t xml:space="preserve">This is for foreseen, short term intermittent use such as addressing seasonal changes e.g. spring sloughing. This is defined as chemical use lasting less than 4 months in a rolling year. Chemical use </w:t>
      </w:r>
      <w:r w:rsidR="00510A83">
        <w:t>will</w:t>
      </w:r>
      <w:r w:rsidRPr="002D7C3E">
        <w:t xml:space="preserve"> be </w:t>
      </w:r>
      <w:r w:rsidR="00B360A6">
        <w:t>permitted</w:t>
      </w:r>
      <w:r w:rsidRPr="002D7C3E">
        <w:t xml:space="preserve"> in accordance with the guidance below, with the exception that an Annual Average condition </w:t>
      </w:r>
      <w:r w:rsidR="00510A83">
        <w:t>will</w:t>
      </w:r>
      <w:r w:rsidRPr="002D7C3E">
        <w:t xml:space="preserve"> not be used, since this is not appropriate for a discharge only lasting for part of the year. 2 tier limits </w:t>
      </w:r>
      <w:r w:rsidR="00510A83">
        <w:t>will</w:t>
      </w:r>
      <w:r w:rsidRPr="002D7C3E">
        <w:t xml:space="preserve"> be used.</w:t>
      </w:r>
    </w:p>
    <w:p w14:paraId="64392006" w14:textId="77777777" w:rsidR="00A368C6" w:rsidRPr="002D7C3E" w:rsidRDefault="00A368C6" w:rsidP="00A368C6">
      <w:pPr>
        <w:pStyle w:val="Heading4"/>
      </w:pPr>
      <w:r w:rsidRPr="002D7C3E">
        <w:t>Reactive</w:t>
      </w:r>
    </w:p>
    <w:p w14:paraId="7E8E639D" w14:textId="1525987E" w:rsidR="00A368C6" w:rsidRPr="00E1168F" w:rsidRDefault="00A368C6" w:rsidP="00A368C6">
      <w:pPr>
        <w:pStyle w:val="BodyText1"/>
      </w:pPr>
      <w:r w:rsidRPr="00E1168F">
        <w:t xml:space="preserve">This is to cover unforeseen, one off, short term temporary dosing e.g. in response to an incident. If reactive dosing continues for a prolonged period, then </w:t>
      </w:r>
      <w:r w:rsidR="00B360A6">
        <w:t>permitting</w:t>
      </w:r>
      <w:r w:rsidRPr="00E1168F">
        <w:t xml:space="preserve"> </w:t>
      </w:r>
      <w:r w:rsidR="00510A83">
        <w:t>will</w:t>
      </w:r>
      <w:r w:rsidRPr="00E1168F">
        <w:t xml:space="preserve"> be considered. SEPA must be informed prior to dosing and a risk assessment to show that environmental standards will be met provided. A method statement should be provided setting out why chemical dosing is necessary, how the chemical and dose rate has been determined and measures to prevent overdosing. There may be a requirement to sample the discharge to demonstrate that no overdosing is happening.</w:t>
      </w:r>
    </w:p>
    <w:p w14:paraId="37906B48" w14:textId="77777777" w:rsidR="00A368C6" w:rsidRPr="00C97571" w:rsidRDefault="00A368C6" w:rsidP="00A368C6">
      <w:pPr>
        <w:pStyle w:val="Heading4"/>
      </w:pPr>
      <w:r w:rsidRPr="00C97571">
        <w:lastRenderedPageBreak/>
        <w:t>Trials</w:t>
      </w:r>
    </w:p>
    <w:p w14:paraId="3A707CB4" w14:textId="0AC80B0A" w:rsidR="00A368C6" w:rsidRPr="00B93AB7" w:rsidRDefault="00A368C6" w:rsidP="00A368C6">
      <w:pPr>
        <w:pStyle w:val="BodyText1"/>
      </w:pPr>
      <w:r w:rsidRPr="00C97571">
        <w:t xml:space="preserve">This is to test the efficacy of a chemical over a short, agreed period with a view to making the use of this chemical permanent if successful.  Normally if the trial will last more than one month, then a </w:t>
      </w:r>
      <w:r w:rsidR="000033B0">
        <w:t>permit</w:t>
      </w:r>
      <w:r w:rsidRPr="00C97571">
        <w:t xml:space="preserve"> variation to allow this would need to be made. This period can be modified depending on the environmental risk. As above, if a </w:t>
      </w:r>
      <w:r w:rsidR="000033B0">
        <w:t>permit</w:t>
      </w:r>
      <w:r w:rsidRPr="00C97571">
        <w:t xml:space="preserve"> variation is not required, justification of why the chemical dosing is necessary and a risk assessment will be required.</w:t>
      </w:r>
    </w:p>
    <w:p w14:paraId="086CCD2D" w14:textId="77777777" w:rsidR="00A368C6" w:rsidRPr="000E1EE1" w:rsidRDefault="00A368C6" w:rsidP="00A368C6">
      <w:pPr>
        <w:pStyle w:val="Heading3"/>
      </w:pPr>
      <w:bookmarkStart w:id="171" w:name="_Toc184195321"/>
      <w:bookmarkStart w:id="172" w:name="_Toc193873881"/>
      <w:r w:rsidRPr="000E1EE1">
        <w:t>6.1.3</w:t>
      </w:r>
      <w:r w:rsidRPr="000E1EE1">
        <w:tab/>
      </w:r>
      <w:r>
        <w:t xml:space="preserve"> </w:t>
      </w:r>
      <w:r w:rsidRPr="000E1EE1">
        <w:t xml:space="preserve">Ferric </w:t>
      </w:r>
      <w:r>
        <w:t>d</w:t>
      </w:r>
      <w:r w:rsidRPr="000E1EE1">
        <w:t>osing</w:t>
      </w:r>
      <w:bookmarkEnd w:id="171"/>
      <w:bookmarkEnd w:id="172"/>
    </w:p>
    <w:p w14:paraId="5107EB46" w14:textId="682AD046" w:rsidR="00A368C6" w:rsidRPr="00A74F4B" w:rsidRDefault="00A368C6" w:rsidP="00A368C6">
      <w:pPr>
        <w:pStyle w:val="BodyText1"/>
      </w:pPr>
      <w:r w:rsidRPr="00A74F4B">
        <w:t xml:space="preserve">An operator is likely to use ferric dosing to meet phosphorus standards. Where this is the case, a standard condition of 2mg/l annual mean, total Fe measured on the instantaneous sample </w:t>
      </w:r>
      <w:r w:rsidR="00510A83">
        <w:t>will</w:t>
      </w:r>
      <w:r w:rsidRPr="00A74F4B">
        <w:t xml:space="preserve"> normally be included in the </w:t>
      </w:r>
      <w:r w:rsidR="00716D86">
        <w:t xml:space="preserve">EASR </w:t>
      </w:r>
      <w:r w:rsidR="000033B0">
        <w:t>permit</w:t>
      </w:r>
      <w:r w:rsidRPr="00A74F4B">
        <w:t xml:space="preserve"> schedule.</w:t>
      </w:r>
    </w:p>
    <w:p w14:paraId="37D9B18D" w14:textId="3D7E1873" w:rsidR="00A368C6" w:rsidRPr="00A74F4B" w:rsidRDefault="00A368C6" w:rsidP="0044053B">
      <w:pPr>
        <w:pStyle w:val="BodyText1"/>
      </w:pPr>
      <w:r w:rsidRPr="00C97571">
        <w:t xml:space="preserve">The approach below doesn’t apply </w:t>
      </w:r>
      <w:r>
        <w:t>for</w:t>
      </w:r>
      <w:r w:rsidRPr="00C97571">
        <w:t xml:space="preserve"> discharges to tidal waters.  You should follow the guidance in </w:t>
      </w:r>
      <w:r w:rsidRPr="00A74F4B">
        <w:t>WAT-</w:t>
      </w:r>
      <w:r w:rsidR="00EF215D">
        <w:t xml:space="preserve">G-066 </w:t>
      </w:r>
      <w:r w:rsidR="0044053B">
        <w:t xml:space="preserve">EASR Guidance: Permit Activity: Assessing the impact of a discharge on coastal and transitional waters </w:t>
      </w:r>
      <w:r w:rsidRPr="00A74F4B">
        <w:t>and consult</w:t>
      </w:r>
      <w:r w:rsidRPr="00C97571">
        <w:t xml:space="preserve"> Ocean </w:t>
      </w:r>
      <w:r>
        <w:t>M</w:t>
      </w:r>
      <w:r w:rsidRPr="00C97571">
        <w:t>odelling as required.</w:t>
      </w:r>
    </w:p>
    <w:p w14:paraId="357D2EE3" w14:textId="77777777" w:rsidR="00A368C6" w:rsidRPr="00A74F4B" w:rsidRDefault="00A368C6" w:rsidP="00A368C6">
      <w:pPr>
        <w:pStyle w:val="BodyText1"/>
      </w:pPr>
      <w:r w:rsidRPr="00A74F4B">
        <w:t>Where the operator is struggling to meet 2mg/l, the Fe limit can be changed to 2 tier standards with the 95%ile limit based on site specific modelling. The procedure for doing this is described below.</w:t>
      </w:r>
    </w:p>
    <w:p w14:paraId="1E7C8AF1" w14:textId="0C88F6A5" w:rsidR="00A368C6" w:rsidRPr="00A74F4B" w:rsidRDefault="00A368C6" w:rsidP="00A368C6">
      <w:pPr>
        <w:pStyle w:val="BodyText1"/>
      </w:pPr>
      <w:r w:rsidRPr="00A74F4B">
        <w:t xml:space="preserve">The discharge iron limit </w:t>
      </w:r>
      <w:r w:rsidR="00510A83">
        <w:t>will</w:t>
      </w:r>
      <w:r w:rsidRPr="00A74F4B">
        <w:t xml:space="preserve"> be calculated to ensure the dissolved Fe EQS of 1mg/l annual average is not exceeded, though this iron limit </w:t>
      </w:r>
      <w:r w:rsidR="00510A83">
        <w:t>will</w:t>
      </w:r>
      <w:r w:rsidRPr="00A74F4B">
        <w:t xml:space="preserve"> be specified as total iron, not dissolved iron. </w:t>
      </w:r>
    </w:p>
    <w:p w14:paraId="2AEAF62D" w14:textId="77777777" w:rsidR="00A368C6" w:rsidRPr="00A74F4B" w:rsidRDefault="00A368C6" w:rsidP="00A368C6">
      <w:pPr>
        <w:pStyle w:val="BodyText1"/>
      </w:pPr>
      <w:r w:rsidRPr="00A74F4B">
        <w:t xml:space="preserve">Normally the modelling would be expected to result in a dissolved iron discharge limit </w:t>
      </w:r>
      <w:proofErr w:type="gramStart"/>
      <w:r w:rsidRPr="00A74F4B">
        <w:t>in order to</w:t>
      </w:r>
      <w:proofErr w:type="gramEnd"/>
      <w:r w:rsidRPr="00A74F4B">
        <w:t xml:space="preserve"> match the EQS. The reason for specifying the discharge limit as total iron is that setting a dissolved Fe discharge limit may in theory allow the river dissolved Fe EQS to be exceeded. This is because discharge total Fe would not be limited and some of this Fe may change state into the dissolved form once it is in the river (due to for example a reduced pH).</w:t>
      </w:r>
    </w:p>
    <w:p w14:paraId="12F2DFC9" w14:textId="03AEC932" w:rsidR="00A368C6" w:rsidRPr="00A74F4B" w:rsidRDefault="00A368C6" w:rsidP="00A368C6">
      <w:pPr>
        <w:pStyle w:val="BodyText1"/>
      </w:pPr>
      <w:r w:rsidRPr="00A74F4B">
        <w:t xml:space="preserve">However, </w:t>
      </w:r>
      <w:proofErr w:type="gramStart"/>
      <w:r w:rsidRPr="00A74F4B">
        <w:t>in order to</w:t>
      </w:r>
      <w:proofErr w:type="gramEnd"/>
      <w:r w:rsidRPr="00A74F4B">
        <w:t xml:space="preserve"> prevent overly high 95%ile limits being set (in cases of high dilution), a backstop maximum 95%ile limit of 4mg/l total Fe </w:t>
      </w:r>
      <w:r w:rsidR="00510A83">
        <w:t>will</w:t>
      </w:r>
      <w:r w:rsidRPr="00A74F4B">
        <w:t xml:space="preserve"> be set.</w:t>
      </w:r>
    </w:p>
    <w:p w14:paraId="0A7FE7C8" w14:textId="1F4D8B97" w:rsidR="00A368C6" w:rsidRPr="00A74F4B" w:rsidRDefault="00A368C6" w:rsidP="00A368C6">
      <w:pPr>
        <w:pStyle w:val="BodyText1"/>
      </w:pPr>
      <w:r w:rsidRPr="00A74F4B">
        <w:t xml:space="preserve">A limit no tighter than 1mg/l total Fe as a 95%ile </w:t>
      </w:r>
      <w:r w:rsidR="00510A83">
        <w:t>will</w:t>
      </w:r>
      <w:r w:rsidRPr="00A74F4B">
        <w:t xml:space="preserve"> be set. An upper tier spot sample limit </w:t>
      </w:r>
      <w:r w:rsidR="00510A83">
        <w:t>will</w:t>
      </w:r>
      <w:r w:rsidRPr="00A74F4B">
        <w:t xml:space="preserve"> be 8mg/l.</w:t>
      </w:r>
    </w:p>
    <w:p w14:paraId="67EB9B40" w14:textId="77777777" w:rsidR="00A368C6" w:rsidRPr="007D09F6" w:rsidRDefault="00A368C6" w:rsidP="00A368C6">
      <w:pPr>
        <w:pStyle w:val="Heading3"/>
      </w:pPr>
      <w:bookmarkStart w:id="173" w:name="_Toc184195322"/>
      <w:bookmarkStart w:id="174" w:name="_Toc193873882"/>
      <w:r w:rsidRPr="007D09F6">
        <w:lastRenderedPageBreak/>
        <w:t>6.1.4</w:t>
      </w:r>
      <w:r w:rsidRPr="007D09F6">
        <w:tab/>
        <w:t xml:space="preserve">Aluminium </w:t>
      </w:r>
      <w:r>
        <w:t>d</w:t>
      </w:r>
      <w:r w:rsidRPr="007D09F6">
        <w:t>osing</w:t>
      </w:r>
      <w:bookmarkEnd w:id="173"/>
      <w:bookmarkEnd w:id="174"/>
    </w:p>
    <w:p w14:paraId="54AFDDE9" w14:textId="77777777" w:rsidR="00A368C6" w:rsidRPr="002D7C3E" w:rsidRDefault="00A368C6" w:rsidP="00A368C6">
      <w:pPr>
        <w:pStyle w:val="BodyText1"/>
      </w:pPr>
      <w:r w:rsidRPr="002D7C3E">
        <w:t>SEPA discourages the use of aluminium dosing due to its toxicity. Aluminium dosing at STWs should only be used in situations where ferric dosing is impracticable. The operator needs to provide full justification for the use of aluminium.</w:t>
      </w:r>
    </w:p>
    <w:p w14:paraId="79E1108D" w14:textId="3EFC2923" w:rsidR="00A368C6" w:rsidRPr="002D7C3E" w:rsidRDefault="00A368C6" w:rsidP="00690300">
      <w:pPr>
        <w:pStyle w:val="BodyText1"/>
      </w:pPr>
      <w:r w:rsidRPr="002D7C3E">
        <w:t xml:space="preserve">If aluminium is proposed, the EQS standards to be followed are those set out in </w:t>
      </w:r>
      <w:r w:rsidR="00690300">
        <w:t xml:space="preserve">WAT-G-067 EASR Guidance: Permit Activity: Discharges from water treatment works, </w:t>
      </w:r>
      <w:r w:rsidRPr="002D7C3E">
        <w:t xml:space="preserve">which will determine discharge limits. However, to limit discharge levels in high dilution situations, a backstop discharge limit of 10mg/l dissolved aluminium may need to be used. </w:t>
      </w:r>
      <w:r w:rsidRPr="00122590">
        <w:t xml:space="preserve">If the discharge is to be sampled, 2 tier standards </w:t>
      </w:r>
      <w:r w:rsidR="00510A83">
        <w:t>will</w:t>
      </w:r>
      <w:r w:rsidRPr="00122590">
        <w:t xml:space="preserve"> be used.</w:t>
      </w:r>
    </w:p>
    <w:p w14:paraId="4A44FA6B" w14:textId="77777777" w:rsidR="00A368C6" w:rsidRPr="00823E49" w:rsidRDefault="00A368C6" w:rsidP="00A368C6">
      <w:pPr>
        <w:pStyle w:val="Heading2"/>
      </w:pPr>
      <w:bookmarkStart w:id="175" w:name="_Toc174697480"/>
      <w:bookmarkStart w:id="176" w:name="_Toc184195323"/>
      <w:bookmarkStart w:id="177" w:name="_Toc193873883"/>
      <w:r w:rsidRPr="00823E49">
        <w:t>6.2</w:t>
      </w:r>
      <w:r w:rsidRPr="00823E49">
        <w:tab/>
        <w:t xml:space="preserve">Reactive </w:t>
      </w:r>
      <w:r>
        <w:t>p</w:t>
      </w:r>
      <w:r w:rsidRPr="00823E49">
        <w:t>hosphorus (RP)</w:t>
      </w:r>
      <w:bookmarkEnd w:id="175"/>
      <w:bookmarkEnd w:id="176"/>
      <w:bookmarkEnd w:id="177"/>
    </w:p>
    <w:p w14:paraId="5347A4D3" w14:textId="53AE9777" w:rsidR="00A368C6" w:rsidRPr="002D7C3E" w:rsidRDefault="00A368C6" w:rsidP="00A368C6">
      <w:pPr>
        <w:pStyle w:val="BodyText1"/>
      </w:pPr>
      <w:r w:rsidRPr="002D7C3E">
        <w:t xml:space="preserve">Where phosphorous standards are required, modelling </w:t>
      </w:r>
      <w:r w:rsidR="00510A83">
        <w:t>will</w:t>
      </w:r>
      <w:r w:rsidRPr="002D7C3E">
        <w:t xml:space="preserve"> be undertaken which will give mean and 95%ile RP standards for </w:t>
      </w:r>
      <w:r w:rsidR="00B360A6">
        <w:t>permitti</w:t>
      </w:r>
      <w:r w:rsidR="00357575">
        <w:t>ng</w:t>
      </w:r>
      <w:r w:rsidRPr="002D7C3E">
        <w:t xml:space="preserve"> purposes. </w:t>
      </w:r>
    </w:p>
    <w:p w14:paraId="7E8B1734" w14:textId="4939BE1F" w:rsidR="00A368C6" w:rsidRPr="002D7C3E" w:rsidRDefault="00A368C6" w:rsidP="00A368C6">
      <w:pPr>
        <w:pStyle w:val="BodyText1"/>
      </w:pPr>
      <w:r w:rsidRPr="002D7C3E">
        <w:t xml:space="preserve">The 95%ile RP value derived from the modelling (corresponding to the annual average) </w:t>
      </w:r>
      <w:r w:rsidR="00510A83">
        <w:t>will</w:t>
      </w:r>
      <w:r w:rsidRPr="002D7C3E">
        <w:t xml:space="preserve"> be used as the lower tier </w:t>
      </w:r>
      <w:r w:rsidR="000033B0">
        <w:t>permit</w:t>
      </w:r>
      <w:r w:rsidRPr="002D7C3E">
        <w:t xml:space="preserve"> limit.</w:t>
      </w:r>
    </w:p>
    <w:p w14:paraId="39061CF4" w14:textId="4AAB750B" w:rsidR="00A368C6" w:rsidRPr="002D7C3E" w:rsidRDefault="00A368C6" w:rsidP="00A368C6">
      <w:pPr>
        <w:pStyle w:val="BodyText1"/>
      </w:pPr>
      <w:r w:rsidRPr="002D7C3E">
        <w:t>The TP annual average (AA) BAT standard is 0.25mg/l.  However</w:t>
      </w:r>
      <w:r>
        <w:t>,</w:t>
      </w:r>
      <w:r w:rsidRPr="002D7C3E">
        <w:t xml:space="preserve"> we need to convert this to an RP BAT based on the RP/TP ratio of the individual STW. This is because the RP/TP ratio varies significantly depending on the individual STW. If the RP/TP ratio is unknown, the RP </w:t>
      </w:r>
      <w:r w:rsidR="00510A83">
        <w:t>will</w:t>
      </w:r>
      <w:r w:rsidRPr="002D7C3E">
        <w:t xml:space="preserve"> be assumed to be 40% of the TP. i.e. the RP BAT would be 0.10mg/l AA. In this case the modelled RP </w:t>
      </w:r>
      <w:r w:rsidR="00510A83">
        <w:t>will</w:t>
      </w:r>
      <w:r w:rsidRPr="002D7C3E">
        <w:t xml:space="preserve"> not be lower than 0.10mg/l AA, and the corresponding modelled 95% limit </w:t>
      </w:r>
      <w:r w:rsidR="00510A83">
        <w:t>will</w:t>
      </w:r>
      <w:r w:rsidRPr="002D7C3E">
        <w:t xml:space="preserve"> be used as the </w:t>
      </w:r>
      <w:r w:rsidR="000033B0">
        <w:t>permit</w:t>
      </w:r>
      <w:r w:rsidRPr="002D7C3E">
        <w:t xml:space="preserve"> lower tier limit. </w:t>
      </w:r>
    </w:p>
    <w:p w14:paraId="3A91883E" w14:textId="77777777" w:rsidR="00A368C6" w:rsidRPr="002D7C3E" w:rsidRDefault="00A368C6" w:rsidP="00A368C6">
      <w:pPr>
        <w:pStyle w:val="BodyText"/>
      </w:pPr>
      <w:r w:rsidRPr="002D7C3E">
        <w:t xml:space="preserve">We will not require standards tighter than the RP BAT standard for a particular STW. </w:t>
      </w:r>
    </w:p>
    <w:p w14:paraId="7C2496ED" w14:textId="77777777" w:rsidR="00A368C6" w:rsidRPr="00123A9E" w:rsidRDefault="00A368C6" w:rsidP="00A368C6">
      <w:pPr>
        <w:pStyle w:val="BodyText"/>
      </w:pPr>
      <w:r w:rsidRPr="00123A9E">
        <w:t>Lower tier compliance will be assessed using the exceedance look up table. No upper tier will be used.</w:t>
      </w:r>
    </w:p>
    <w:p w14:paraId="22BEEB39" w14:textId="77777777" w:rsidR="00A368C6" w:rsidRPr="00297201" w:rsidRDefault="00A368C6" w:rsidP="00A368C6">
      <w:pPr>
        <w:pStyle w:val="Heading2"/>
      </w:pPr>
      <w:bookmarkStart w:id="178" w:name="_Toc364167835"/>
      <w:bookmarkStart w:id="179" w:name="_Toc184195324"/>
      <w:bookmarkStart w:id="180" w:name="_Toc193873884"/>
      <w:r w:rsidRPr="00297201">
        <w:t>6.3</w:t>
      </w:r>
      <w:r w:rsidRPr="00297201">
        <w:tab/>
        <w:t xml:space="preserve">Total </w:t>
      </w:r>
      <w:r>
        <w:t>p</w:t>
      </w:r>
      <w:r w:rsidRPr="00297201">
        <w:t>hosphorus (TP)</w:t>
      </w:r>
      <w:bookmarkEnd w:id="178"/>
      <w:bookmarkEnd w:id="179"/>
      <w:bookmarkEnd w:id="180"/>
    </w:p>
    <w:p w14:paraId="1152BD8E" w14:textId="77777777" w:rsidR="00A368C6" w:rsidRPr="00142D5E" w:rsidRDefault="00A368C6" w:rsidP="00A368C6">
      <w:pPr>
        <w:pStyle w:val="BodyText1"/>
      </w:pPr>
      <w:r w:rsidRPr="00142D5E">
        <w:t>STWs serving &gt;10,000pe discharging to freshwater river or lochs designated as Sensitive Areas subject to eutrophication under UWWTD require Total Phosphorus standards.</w:t>
      </w:r>
    </w:p>
    <w:p w14:paraId="2E3EADE1" w14:textId="77777777" w:rsidR="00A368C6" w:rsidRPr="00142D5E" w:rsidRDefault="00A368C6" w:rsidP="00A368C6">
      <w:pPr>
        <w:pStyle w:val="BodyText1"/>
      </w:pPr>
      <w:r w:rsidRPr="00142D5E">
        <w:lastRenderedPageBreak/>
        <w:t xml:space="preserve">UWWTD phosphorus standards are fixed at 1 or 2 mg/l annual mean TP depending on the </w:t>
      </w:r>
      <w:proofErr w:type="spellStart"/>
      <w:r w:rsidRPr="00142D5E">
        <w:t>p.e.</w:t>
      </w:r>
      <w:proofErr w:type="spellEnd"/>
      <w:r w:rsidRPr="00142D5E">
        <w:t xml:space="preserve"> of the works. A Total Phosphorus (TP) standard of 2mg/l is applied for works &lt; 100,000 </w:t>
      </w:r>
      <w:proofErr w:type="spellStart"/>
      <w:r w:rsidRPr="00142D5E">
        <w:t>p.e.</w:t>
      </w:r>
      <w:proofErr w:type="spellEnd"/>
      <w:r w:rsidRPr="00142D5E">
        <w:t xml:space="preserve">, with a TP of 1mg/l only applying to STW &gt; 100,000 </w:t>
      </w:r>
      <w:proofErr w:type="spellStart"/>
      <w:r w:rsidRPr="00142D5E">
        <w:t>p.e.</w:t>
      </w:r>
      <w:proofErr w:type="spellEnd"/>
    </w:p>
    <w:p w14:paraId="35A15A8B" w14:textId="196D0AD8" w:rsidR="00A368C6" w:rsidRPr="00142D5E" w:rsidRDefault="00A368C6" w:rsidP="00A368C6">
      <w:pPr>
        <w:pStyle w:val="BodyText1"/>
      </w:pPr>
      <w:r w:rsidRPr="00142D5E">
        <w:t xml:space="preserve">It is the annual mean UWWTD standards which must be used in </w:t>
      </w:r>
      <w:r w:rsidR="000033B0">
        <w:t>permit</w:t>
      </w:r>
      <w:r w:rsidRPr="00142D5E">
        <w:t xml:space="preserve"> conditions. These TP standards </w:t>
      </w:r>
      <w:r w:rsidR="00510A83">
        <w:t>will</w:t>
      </w:r>
      <w:r w:rsidRPr="00142D5E">
        <w:t xml:space="preserve"> be inserted in the UWWTD schedule in the STW </w:t>
      </w:r>
      <w:r w:rsidR="000033B0">
        <w:t>permit</w:t>
      </w:r>
      <w:r w:rsidRPr="00142D5E">
        <w:t xml:space="preserve"> and will therefore be based upon composite sampling.</w:t>
      </w:r>
    </w:p>
    <w:p w14:paraId="0A1B5D1E" w14:textId="77777777" w:rsidR="00A368C6" w:rsidRPr="00142D5E" w:rsidRDefault="00A368C6" w:rsidP="00A368C6">
      <w:pPr>
        <w:pStyle w:val="BodyText1"/>
      </w:pPr>
      <w:r w:rsidRPr="00142D5E">
        <w:t xml:space="preserve">This is reproduced below in </w:t>
      </w:r>
      <w:r w:rsidRPr="00C97571">
        <w:t>Table</w:t>
      </w:r>
      <w:r>
        <w:t xml:space="preserve"> </w:t>
      </w:r>
      <w:r w:rsidRPr="00C97571">
        <w:t>4.</w:t>
      </w:r>
      <w:r w:rsidRPr="00142D5E">
        <w:t xml:space="preserve"> Compliance with either the concentration or the % reduction requirements in </w:t>
      </w:r>
      <w:r w:rsidRPr="00C97571">
        <w:t>Table 4</w:t>
      </w:r>
      <w:r w:rsidRPr="00142D5E">
        <w:t xml:space="preserve"> would mean the discharge is compliant with UWWTR.</w:t>
      </w:r>
    </w:p>
    <w:p w14:paraId="56CFFA79" w14:textId="77777777" w:rsidR="00A368C6" w:rsidRPr="009301B5" w:rsidRDefault="00A368C6" w:rsidP="00A368C6">
      <w:pPr>
        <w:pStyle w:val="BodyText1"/>
        <w:rPr>
          <w:b/>
          <w:bCs/>
        </w:rPr>
      </w:pPr>
      <w:r w:rsidRPr="009301B5">
        <w:rPr>
          <w:b/>
          <w:bCs/>
        </w:rPr>
        <w:t xml:space="preserve">Table 4: Total </w:t>
      </w:r>
      <w:r>
        <w:rPr>
          <w:b/>
          <w:bCs/>
        </w:rPr>
        <w:t>p</w:t>
      </w:r>
      <w:r w:rsidRPr="009301B5">
        <w:rPr>
          <w:b/>
          <w:bCs/>
        </w:rPr>
        <w:t>hosphorous concentration value or % reduction</w:t>
      </w:r>
    </w:p>
    <w:tbl>
      <w:tblPr>
        <w:tblW w:w="3988" w:type="pct"/>
        <w:tblCellMar>
          <w:left w:w="0" w:type="dxa"/>
          <w:right w:w="0" w:type="dxa"/>
        </w:tblCellMar>
        <w:tblLook w:val="04A0" w:firstRow="1" w:lastRow="0" w:firstColumn="1" w:lastColumn="0" w:noHBand="0" w:noVBand="1"/>
        <w:tblCaption w:val="Table 4: Total phosphorus concentration value or % reduction"/>
        <w:tblDescription w:val="This table shows, for differnt population equivalent bands the:&#10;Annual mean concentration.&#10;The minimum % reduction. "/>
      </w:tblPr>
      <w:tblGrid>
        <w:gridCol w:w="2050"/>
        <w:gridCol w:w="3377"/>
        <w:gridCol w:w="2710"/>
      </w:tblGrid>
      <w:tr w:rsidR="00A368C6" w:rsidRPr="00684F5A" w14:paraId="7ABA0FA4" w14:textId="77777777" w:rsidTr="005A5680">
        <w:trPr>
          <w:trHeight w:val="610"/>
          <w:tblHeader/>
        </w:trPr>
        <w:tc>
          <w:tcPr>
            <w:tcW w:w="126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3C8E51A"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Population equivalent</w:t>
            </w:r>
          </w:p>
        </w:tc>
        <w:tc>
          <w:tcPr>
            <w:tcW w:w="206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D09D48F"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Annual mean concentration </w:t>
            </w:r>
          </w:p>
        </w:tc>
        <w:tc>
          <w:tcPr>
            <w:tcW w:w="166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D2C620C"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Minimum % reduction</w:t>
            </w:r>
          </w:p>
        </w:tc>
      </w:tr>
      <w:tr w:rsidR="00A368C6" w:rsidRPr="00684F5A" w14:paraId="3F82EA28" w14:textId="77777777" w:rsidTr="005A5680">
        <w:trPr>
          <w:trHeight w:val="315"/>
        </w:trPr>
        <w:tc>
          <w:tcPr>
            <w:tcW w:w="12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EF70A00"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10,000-100,000</w:t>
            </w:r>
          </w:p>
        </w:tc>
        <w:tc>
          <w:tcPr>
            <w:tcW w:w="206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64792EA"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2mg/l</w:t>
            </w:r>
          </w:p>
        </w:tc>
        <w:tc>
          <w:tcPr>
            <w:tcW w:w="166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DC10F2"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80</w:t>
            </w:r>
          </w:p>
        </w:tc>
      </w:tr>
      <w:tr w:rsidR="00A368C6" w:rsidRPr="00684F5A" w14:paraId="1A58AE8E" w14:textId="77777777" w:rsidTr="005A5680">
        <w:trPr>
          <w:trHeight w:val="300"/>
        </w:trPr>
        <w:tc>
          <w:tcPr>
            <w:tcW w:w="12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C5DDCFF"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&gt;100,000</w:t>
            </w:r>
          </w:p>
        </w:tc>
        <w:tc>
          <w:tcPr>
            <w:tcW w:w="206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7F3DBA8"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1mg/l</w:t>
            </w:r>
          </w:p>
        </w:tc>
        <w:tc>
          <w:tcPr>
            <w:tcW w:w="166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13E9EA3"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80</w:t>
            </w:r>
          </w:p>
        </w:tc>
      </w:tr>
    </w:tbl>
    <w:p w14:paraId="572D412C" w14:textId="77777777" w:rsidR="00A368C6" w:rsidRDefault="00A368C6" w:rsidP="00A368C6">
      <w:pPr>
        <w:pStyle w:val="BodyText1"/>
      </w:pPr>
    </w:p>
    <w:p w14:paraId="7E2A08AD" w14:textId="098DF1FD" w:rsidR="00A368C6" w:rsidRPr="00142D5E" w:rsidRDefault="00A368C6" w:rsidP="00A368C6">
      <w:pPr>
        <w:pStyle w:val="BodyText1"/>
      </w:pPr>
      <w:r w:rsidRPr="00142D5E">
        <w:t xml:space="preserve">For </w:t>
      </w:r>
      <w:r w:rsidR="00425C52">
        <w:t xml:space="preserve">a </w:t>
      </w:r>
      <w:r w:rsidRPr="00142D5E">
        <w:t xml:space="preserve">STW discharging to or impacting upon a freshwater loch, </w:t>
      </w:r>
      <w:r w:rsidR="00425C52">
        <w:t xml:space="preserve">a </w:t>
      </w:r>
      <w:r w:rsidRPr="00142D5E">
        <w:t xml:space="preserve">TP rather than RP standard </w:t>
      </w:r>
      <w:r w:rsidR="00425C52">
        <w:t>will</w:t>
      </w:r>
      <w:r w:rsidRPr="00142D5E">
        <w:t xml:space="preserve"> be used, e.g. Loch Lomond Catchment. </w:t>
      </w:r>
    </w:p>
    <w:p w14:paraId="2D9BD0EE" w14:textId="4E2754C1" w:rsidR="00A368C6" w:rsidRPr="00DF600F" w:rsidRDefault="00A368C6" w:rsidP="00A368C6">
      <w:pPr>
        <w:pStyle w:val="Heading2"/>
      </w:pPr>
      <w:bookmarkStart w:id="181" w:name="_Toc364167836"/>
      <w:bookmarkStart w:id="182" w:name="_Toc174697482"/>
      <w:bookmarkStart w:id="183" w:name="_Toc184195325"/>
      <w:bookmarkStart w:id="184" w:name="_Toc193873885"/>
      <w:r w:rsidRPr="00DF600F">
        <w:t>6.4</w:t>
      </w:r>
      <w:r w:rsidRPr="00DF600F">
        <w:tab/>
        <w:t xml:space="preserve">Summary of </w:t>
      </w:r>
      <w:r>
        <w:t>p</w:t>
      </w:r>
      <w:r w:rsidRPr="00DF600F">
        <w:t xml:space="preserve">hosphorus </w:t>
      </w:r>
      <w:r w:rsidR="000033B0">
        <w:t>permit</w:t>
      </w:r>
      <w:r w:rsidRPr="00DF600F">
        <w:t xml:space="preserve"> </w:t>
      </w:r>
      <w:r>
        <w:t>c</w:t>
      </w:r>
      <w:r w:rsidRPr="00DF600F">
        <w:t>onditions</w:t>
      </w:r>
      <w:bookmarkEnd w:id="181"/>
      <w:bookmarkEnd w:id="182"/>
      <w:bookmarkEnd w:id="183"/>
      <w:bookmarkEnd w:id="184"/>
    </w:p>
    <w:p w14:paraId="4DAB0C82" w14:textId="3FDF9789" w:rsidR="00A368C6" w:rsidRPr="00E05365" w:rsidRDefault="00A368C6" w:rsidP="00A368C6">
      <w:pPr>
        <w:pStyle w:val="BodyText1"/>
        <w:rPr>
          <w:b/>
          <w:bCs/>
          <w:color w:val="00526F"/>
          <w:highlight w:val="yellow"/>
        </w:rPr>
      </w:pPr>
      <w:r w:rsidRPr="00E05365">
        <w:rPr>
          <w:b/>
          <w:bCs/>
        </w:rPr>
        <w:t xml:space="preserve">Table 5: Phosphorus </w:t>
      </w:r>
      <w:r w:rsidR="000033B0">
        <w:rPr>
          <w:b/>
          <w:bCs/>
        </w:rPr>
        <w:t>permit</w:t>
      </w:r>
      <w:r w:rsidRPr="00E05365">
        <w:rPr>
          <w:b/>
          <w:bCs/>
        </w:rPr>
        <w:t xml:space="preserve"> conditions</w:t>
      </w:r>
    </w:p>
    <w:tbl>
      <w:tblPr>
        <w:tblW w:w="5000" w:type="pct"/>
        <w:tblCellMar>
          <w:left w:w="0" w:type="dxa"/>
          <w:right w:w="0" w:type="dxa"/>
        </w:tblCellMar>
        <w:tblLook w:val="04A0" w:firstRow="1" w:lastRow="0" w:firstColumn="1" w:lastColumn="0" w:noHBand="0" w:noVBand="1"/>
        <w:tblCaption w:val="Table 5: Phosphorus licence conditions"/>
        <w:tblDescription w:val="This table shows for both the UWWTD and CAR the:&#10;Form of phosphorus.&#10;The statistic.&#10;The sample type.&#10;The upper tier."/>
      </w:tblPr>
      <w:tblGrid>
        <w:gridCol w:w="1591"/>
        <w:gridCol w:w="2563"/>
        <w:gridCol w:w="1591"/>
        <w:gridCol w:w="2865"/>
        <w:gridCol w:w="1592"/>
      </w:tblGrid>
      <w:tr w:rsidR="00A368C6" w:rsidRPr="00684F5A" w14:paraId="29999AB5" w14:textId="77777777" w:rsidTr="005A5680">
        <w:trPr>
          <w:trHeight w:val="610"/>
          <w:tblHeader/>
        </w:trPr>
        <w:tc>
          <w:tcPr>
            <w:tcW w:w="78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60BAD18"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Regulatory regime </w:t>
            </w:r>
          </w:p>
        </w:tc>
        <w:tc>
          <w:tcPr>
            <w:tcW w:w="125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8FC51B3"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Form of phosphorus </w:t>
            </w:r>
          </w:p>
        </w:tc>
        <w:tc>
          <w:tcPr>
            <w:tcW w:w="78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2D73405"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Statistic</w:t>
            </w:r>
          </w:p>
        </w:tc>
        <w:tc>
          <w:tcPr>
            <w:tcW w:w="14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4F35E30"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Sample </w:t>
            </w:r>
            <w:r w:rsidRPr="00FF4DF4">
              <w:rPr>
                <w:rFonts w:ascii="Arial" w:eastAsia="Times New Roman" w:hAnsi="Arial" w:cs="Arial"/>
                <w:b/>
                <w:bCs/>
                <w:color w:val="FFFFFF" w:themeColor="background1"/>
                <w:lang w:eastAsia="en-GB"/>
              </w:rPr>
              <w:t>type</w:t>
            </w:r>
          </w:p>
        </w:tc>
        <w:tc>
          <w:tcPr>
            <w:tcW w:w="780" w:type="pct"/>
            <w:tcBorders>
              <w:top w:val="single" w:sz="8" w:space="0" w:color="auto"/>
              <w:left w:val="nil"/>
              <w:bottom w:val="single" w:sz="8" w:space="0" w:color="auto"/>
              <w:right w:val="single" w:sz="8" w:space="0" w:color="auto"/>
            </w:tcBorders>
            <w:shd w:val="clear" w:color="auto" w:fill="016574"/>
          </w:tcPr>
          <w:p w14:paraId="57711E05"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Upper tier</w:t>
            </w:r>
          </w:p>
        </w:tc>
      </w:tr>
      <w:tr w:rsidR="00A368C6" w:rsidRPr="00684F5A" w14:paraId="3613F769" w14:textId="77777777" w:rsidTr="005A5680">
        <w:trPr>
          <w:trHeight w:val="315"/>
        </w:trPr>
        <w:tc>
          <w:tcPr>
            <w:tcW w:w="7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4D0D305"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UWWTD</w:t>
            </w:r>
          </w:p>
        </w:tc>
        <w:tc>
          <w:tcPr>
            <w:tcW w:w="125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A3C224F"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Total P</w:t>
            </w:r>
          </w:p>
        </w:tc>
        <w:tc>
          <w:tcPr>
            <w:tcW w:w="78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FFD1314"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Mean</w:t>
            </w:r>
          </w:p>
        </w:tc>
        <w:tc>
          <w:tcPr>
            <w:tcW w:w="140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AD1D310"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 xml:space="preserve">Composite (&gt;10,000 </w:t>
            </w:r>
            <w:proofErr w:type="spellStart"/>
            <w:r>
              <w:rPr>
                <w:rFonts w:ascii="Arial" w:eastAsia="Times New Roman" w:hAnsi="Arial" w:cs="Arial"/>
                <w:lang w:eastAsia="en-GB"/>
              </w:rPr>
              <w:t>p.e</w:t>
            </w:r>
            <w:proofErr w:type="spellEnd"/>
            <w:r>
              <w:rPr>
                <w:rFonts w:ascii="Arial" w:eastAsia="Times New Roman" w:hAnsi="Arial" w:cs="Arial"/>
                <w:lang w:eastAsia="en-GB"/>
              </w:rPr>
              <w:t>)</w:t>
            </w:r>
          </w:p>
        </w:tc>
        <w:tc>
          <w:tcPr>
            <w:tcW w:w="780" w:type="pct"/>
            <w:tcBorders>
              <w:top w:val="nil"/>
              <w:left w:val="nil"/>
              <w:bottom w:val="single" w:sz="8" w:space="0" w:color="A6A6A6"/>
              <w:right w:val="single" w:sz="8" w:space="0" w:color="A6A6A6"/>
            </w:tcBorders>
          </w:tcPr>
          <w:p w14:paraId="1E9ADCC3"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None</w:t>
            </w:r>
          </w:p>
        </w:tc>
      </w:tr>
      <w:tr w:rsidR="00A368C6" w:rsidRPr="00684F5A" w14:paraId="083D7842" w14:textId="77777777" w:rsidTr="005A5680">
        <w:trPr>
          <w:trHeight w:val="300"/>
        </w:trPr>
        <w:tc>
          <w:tcPr>
            <w:tcW w:w="7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707576E"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CAR</w:t>
            </w:r>
          </w:p>
        </w:tc>
        <w:tc>
          <w:tcPr>
            <w:tcW w:w="125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FB1DA19"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Rivers RP, Loch TP</w:t>
            </w:r>
          </w:p>
        </w:tc>
        <w:tc>
          <w:tcPr>
            <w:tcW w:w="78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508C154"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 xml:space="preserve">95 </w:t>
            </w:r>
            <w:proofErr w:type="gramStart"/>
            <w:r>
              <w:rPr>
                <w:rFonts w:ascii="Arial" w:eastAsia="Times New Roman" w:hAnsi="Arial" w:cs="Arial"/>
                <w:lang w:eastAsia="en-GB"/>
              </w:rPr>
              <w:t>percentile</w:t>
            </w:r>
            <w:proofErr w:type="gramEnd"/>
          </w:p>
        </w:tc>
        <w:tc>
          <w:tcPr>
            <w:tcW w:w="140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BEDA1F6"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Spot</w:t>
            </w:r>
          </w:p>
        </w:tc>
        <w:tc>
          <w:tcPr>
            <w:tcW w:w="780" w:type="pct"/>
            <w:tcBorders>
              <w:top w:val="nil"/>
              <w:left w:val="nil"/>
              <w:bottom w:val="single" w:sz="8" w:space="0" w:color="A6A6A6"/>
              <w:right w:val="single" w:sz="8" w:space="0" w:color="A6A6A6"/>
            </w:tcBorders>
          </w:tcPr>
          <w:p w14:paraId="766B2A2A"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None</w:t>
            </w:r>
          </w:p>
        </w:tc>
      </w:tr>
    </w:tbl>
    <w:p w14:paraId="393B3E24" w14:textId="77777777" w:rsidR="00A368C6" w:rsidRDefault="00A368C6" w:rsidP="00A368C6">
      <w:pPr>
        <w:pStyle w:val="BodyText1"/>
      </w:pPr>
    </w:p>
    <w:p w14:paraId="30CBAD77" w14:textId="77777777" w:rsidR="00A368C6" w:rsidRPr="00014AAC" w:rsidRDefault="00A368C6" w:rsidP="00A368C6">
      <w:pPr>
        <w:pStyle w:val="Heading2"/>
      </w:pPr>
      <w:bookmarkStart w:id="185" w:name="_Toc174697483"/>
      <w:bookmarkStart w:id="186" w:name="_Toc184195326"/>
      <w:bookmarkStart w:id="187" w:name="_Toc193873886"/>
      <w:r w:rsidRPr="00014AAC">
        <w:lastRenderedPageBreak/>
        <w:t>6.5</w:t>
      </w:r>
      <w:r w:rsidRPr="00014AAC">
        <w:tab/>
        <w:t>Total Nitrogen (TN)</w:t>
      </w:r>
      <w:bookmarkEnd w:id="185"/>
      <w:bookmarkEnd w:id="186"/>
      <w:bookmarkEnd w:id="187"/>
    </w:p>
    <w:p w14:paraId="10CA8586" w14:textId="77777777" w:rsidR="00A368C6" w:rsidRPr="002D7C3E" w:rsidRDefault="00A368C6" w:rsidP="00A368C6">
      <w:pPr>
        <w:pStyle w:val="BodyText1"/>
      </w:pPr>
      <w:r w:rsidRPr="002D7C3E">
        <w:t>STWs serving &gt;10,000pe discharging to tidal waters designated as Sensitive Areas subject to eutrophication under UWWTD require Total Nitrogen standards.</w:t>
      </w:r>
    </w:p>
    <w:p w14:paraId="4471309C" w14:textId="77777777" w:rsidR="00A368C6" w:rsidRPr="002D7C3E" w:rsidRDefault="00A368C6" w:rsidP="00A368C6">
      <w:pPr>
        <w:pStyle w:val="BodyText1"/>
      </w:pPr>
      <w:r w:rsidRPr="002D7C3E">
        <w:t xml:space="preserve">UWWTD nitrogen standards are fixed at 10 or 15 mg/l annual mean TN depend on the </w:t>
      </w:r>
      <w:proofErr w:type="spellStart"/>
      <w:r w:rsidRPr="002D7C3E">
        <w:t>p.e.</w:t>
      </w:r>
      <w:proofErr w:type="spellEnd"/>
      <w:r w:rsidRPr="002D7C3E">
        <w:t xml:space="preserve"> of the works. A Total Nitrogen (TN) standard of 15mg/l is applied for works &lt; 100,000 </w:t>
      </w:r>
      <w:proofErr w:type="spellStart"/>
      <w:r w:rsidRPr="002D7C3E">
        <w:t>p.e.</w:t>
      </w:r>
      <w:proofErr w:type="spellEnd"/>
      <w:r w:rsidRPr="002D7C3E">
        <w:t xml:space="preserve">, with a TN of 10mg/l only applying to STW &gt; 100,000 </w:t>
      </w:r>
      <w:proofErr w:type="spellStart"/>
      <w:r w:rsidRPr="002D7C3E">
        <w:t>p.e.</w:t>
      </w:r>
      <w:proofErr w:type="spellEnd"/>
    </w:p>
    <w:p w14:paraId="45629CB9" w14:textId="1B67F64F" w:rsidR="00A368C6" w:rsidRPr="002D7C3E" w:rsidRDefault="00A368C6" w:rsidP="00A368C6">
      <w:pPr>
        <w:pStyle w:val="BodyText1"/>
      </w:pPr>
      <w:r w:rsidRPr="002D7C3E">
        <w:t xml:space="preserve">It is the annual mean UWWTD standards which must be used in </w:t>
      </w:r>
      <w:r w:rsidR="000033B0">
        <w:t>permit</w:t>
      </w:r>
      <w:r w:rsidRPr="002D7C3E">
        <w:t xml:space="preserve"> conditions. These TN standards </w:t>
      </w:r>
      <w:r w:rsidR="00510A83">
        <w:t>will</w:t>
      </w:r>
      <w:r w:rsidRPr="002D7C3E">
        <w:t xml:space="preserve"> be inserted in the UWWTD schedule in the STW </w:t>
      </w:r>
      <w:r w:rsidR="000033B0">
        <w:t>permit</w:t>
      </w:r>
      <w:r w:rsidRPr="002D7C3E">
        <w:t xml:space="preserve"> and will therefore be based upon composite sampling.</w:t>
      </w:r>
    </w:p>
    <w:p w14:paraId="73234D0E" w14:textId="77777777" w:rsidR="00A368C6" w:rsidRDefault="00A368C6" w:rsidP="00A368C6">
      <w:pPr>
        <w:pStyle w:val="BodyText1"/>
      </w:pPr>
      <w:r w:rsidRPr="002D7C3E">
        <w:t xml:space="preserve">This is reproduced below in Table 6. Compliance with either the concentration or the % reduction requirements in Table 6 would mean the discharge is compliant with UWWTR. </w:t>
      </w:r>
    </w:p>
    <w:p w14:paraId="2C5008D9" w14:textId="77777777" w:rsidR="00A368C6" w:rsidRPr="00E43482" w:rsidRDefault="00A368C6" w:rsidP="00A368C6">
      <w:pPr>
        <w:pStyle w:val="BodyText"/>
        <w:rPr>
          <w:b/>
          <w:bCs/>
        </w:rPr>
      </w:pPr>
      <w:r w:rsidRPr="00E43482">
        <w:rPr>
          <w:b/>
          <w:bCs/>
        </w:rPr>
        <w:t>Table 6: Total Nitrogen concentration value or % reduction</w:t>
      </w:r>
    </w:p>
    <w:tbl>
      <w:tblPr>
        <w:tblW w:w="5000" w:type="pct"/>
        <w:tblCellMar>
          <w:left w:w="0" w:type="dxa"/>
          <w:right w:w="0" w:type="dxa"/>
        </w:tblCellMar>
        <w:tblLook w:val="04A0" w:firstRow="1" w:lastRow="0" w:firstColumn="1" w:lastColumn="0" w:noHBand="0" w:noVBand="1"/>
        <w:tblCaption w:val="Table 6: Total nitrogen concentration value or % reduction"/>
        <w:tblDescription w:val="This table shows, for different popultation equivalents:&#10;The annual mean concentration&#10;The minimum % reduction."/>
      </w:tblPr>
      <w:tblGrid>
        <w:gridCol w:w="2555"/>
        <w:gridCol w:w="3377"/>
        <w:gridCol w:w="4270"/>
      </w:tblGrid>
      <w:tr w:rsidR="00A368C6" w:rsidRPr="00684F5A" w14:paraId="237152D3" w14:textId="77777777" w:rsidTr="005A5680">
        <w:trPr>
          <w:trHeight w:val="610"/>
          <w:tblHeader/>
        </w:trPr>
        <w:tc>
          <w:tcPr>
            <w:tcW w:w="152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57042ED"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Population equivalent</w:t>
            </w:r>
          </w:p>
        </w:tc>
        <w:tc>
          <w:tcPr>
            <w:tcW w:w="11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EC44CA0"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Annual mean concentration </w:t>
            </w:r>
          </w:p>
        </w:tc>
        <w:tc>
          <w:tcPr>
            <w:tcW w:w="236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BBC5764" w14:textId="77777777" w:rsidR="00A368C6" w:rsidRPr="00684F5A" w:rsidRDefault="00A368C6" w:rsidP="005A568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Minimum % reduction</w:t>
            </w:r>
          </w:p>
        </w:tc>
      </w:tr>
      <w:tr w:rsidR="00A368C6" w:rsidRPr="00684F5A" w14:paraId="7AE5475B" w14:textId="77777777" w:rsidTr="005A5680">
        <w:trPr>
          <w:trHeight w:val="315"/>
        </w:trPr>
        <w:tc>
          <w:tcPr>
            <w:tcW w:w="15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D8324AB"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10,000-100,000</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B22A0EB"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15mg/l</w:t>
            </w:r>
          </w:p>
        </w:tc>
        <w:tc>
          <w:tcPr>
            <w:tcW w:w="236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A842752"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70</w:t>
            </w:r>
          </w:p>
        </w:tc>
      </w:tr>
      <w:tr w:rsidR="00A368C6" w:rsidRPr="00684F5A" w14:paraId="6021163C" w14:textId="77777777" w:rsidTr="005A5680">
        <w:trPr>
          <w:trHeight w:val="300"/>
        </w:trPr>
        <w:tc>
          <w:tcPr>
            <w:tcW w:w="152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8EF74B4"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&gt;100,000</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55D06F7"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10mg/l</w:t>
            </w:r>
          </w:p>
        </w:tc>
        <w:tc>
          <w:tcPr>
            <w:tcW w:w="236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CE108F2" w14:textId="77777777" w:rsidR="00A368C6" w:rsidRPr="00684F5A" w:rsidRDefault="00A368C6" w:rsidP="005A5680">
            <w:pPr>
              <w:spacing w:before="120" w:after="120" w:line="240" w:lineRule="auto"/>
              <w:rPr>
                <w:rFonts w:ascii="Arial" w:eastAsia="Times New Roman" w:hAnsi="Arial" w:cs="Arial"/>
                <w:lang w:eastAsia="en-GB"/>
              </w:rPr>
            </w:pPr>
            <w:r>
              <w:rPr>
                <w:rFonts w:ascii="Arial" w:eastAsia="Times New Roman" w:hAnsi="Arial" w:cs="Arial"/>
                <w:lang w:eastAsia="en-GB"/>
              </w:rPr>
              <w:t>70</w:t>
            </w:r>
          </w:p>
        </w:tc>
      </w:tr>
    </w:tbl>
    <w:p w14:paraId="705EF268" w14:textId="77777777" w:rsidR="00A368C6" w:rsidRPr="002D7C3E" w:rsidRDefault="00A368C6" w:rsidP="00A368C6">
      <w:pPr>
        <w:pStyle w:val="BodyText1"/>
      </w:pPr>
    </w:p>
    <w:p w14:paraId="49B8870A" w14:textId="77777777" w:rsidR="00D954AD" w:rsidRPr="000D5BA0" w:rsidRDefault="00D954AD" w:rsidP="00D954AD">
      <w:pPr>
        <w:pStyle w:val="Heading1"/>
      </w:pPr>
      <w:bookmarkStart w:id="188" w:name="_Toc193786472"/>
      <w:bookmarkStart w:id="189" w:name="_Toc193873887"/>
      <w:r w:rsidRPr="00D95126">
        <w:t>Disclaimer</w:t>
      </w:r>
      <w:bookmarkEnd w:id="188"/>
      <w:bookmarkEnd w:id="189"/>
    </w:p>
    <w:p w14:paraId="472161C6" w14:textId="77777777" w:rsidR="00D954AD" w:rsidRDefault="00D954AD" w:rsidP="00D954AD">
      <w:pPr>
        <w:pStyle w:val="BodyText1"/>
      </w:pPr>
      <w:r w:rsidRPr="00077EE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w:t>
      </w:r>
    </w:p>
    <w:p w14:paraId="66B0CC48" w14:textId="77777777" w:rsidR="00D954AD" w:rsidRPr="00077EE6" w:rsidRDefault="00D954AD" w:rsidP="00D954AD">
      <w:pPr>
        <w:pStyle w:val="BodyText1"/>
      </w:pPr>
      <w:r w:rsidRPr="00077EE6">
        <w:t xml:space="preserve">This includes: </w:t>
      </w:r>
    </w:p>
    <w:p w14:paraId="2799E0D1" w14:textId="77777777" w:rsidR="00D954AD" w:rsidRPr="00077EE6" w:rsidRDefault="00D954AD" w:rsidP="00D954AD">
      <w:pPr>
        <w:pStyle w:val="BodyText1"/>
        <w:numPr>
          <w:ilvl w:val="0"/>
          <w:numId w:val="37"/>
        </w:numPr>
      </w:pPr>
      <w:r w:rsidRPr="00077EE6">
        <w:t>any direct, indirect and consequential losses</w:t>
      </w:r>
    </w:p>
    <w:p w14:paraId="555272AA" w14:textId="77777777" w:rsidR="00D954AD" w:rsidRPr="00077EE6" w:rsidRDefault="00D954AD" w:rsidP="00D954AD">
      <w:pPr>
        <w:pStyle w:val="BodyText1"/>
        <w:numPr>
          <w:ilvl w:val="0"/>
          <w:numId w:val="37"/>
        </w:numPr>
      </w:pPr>
      <w:r w:rsidRPr="00077EE6">
        <w:lastRenderedPageBreak/>
        <w:t>any loss or damage caused by civil wrongs, breach of contract or otherwise</w:t>
      </w:r>
    </w:p>
    <w:p w14:paraId="5705BB33" w14:textId="77777777" w:rsidR="00D954AD" w:rsidRDefault="00D954AD" w:rsidP="00D954AD">
      <w:pPr>
        <w:pStyle w:val="BodyText1"/>
      </w:pPr>
      <w:r w:rsidRPr="00077EE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41271AAC" w14:textId="77777777" w:rsidR="00A368C6" w:rsidRPr="00A368C6" w:rsidRDefault="00A368C6" w:rsidP="00A368C6">
      <w:pPr>
        <w:pStyle w:val="BodyText1"/>
      </w:pPr>
    </w:p>
    <w:p w14:paraId="6BDDC97D" w14:textId="77777777" w:rsidR="00A368C6" w:rsidRDefault="00A368C6" w:rsidP="00A368C6">
      <w:pPr>
        <w:pStyle w:val="BodyText1"/>
        <w:rPr>
          <w:b/>
          <w:bCs/>
        </w:rPr>
      </w:pPr>
    </w:p>
    <w:p w14:paraId="742276F9" w14:textId="77777777" w:rsidR="00A368C6" w:rsidRPr="00C97571" w:rsidRDefault="00A368C6" w:rsidP="00A368C6">
      <w:pPr>
        <w:pStyle w:val="BodyText1"/>
      </w:pPr>
    </w:p>
    <w:p w14:paraId="3CCE2570" w14:textId="77777777" w:rsidR="00684F5A" w:rsidRPr="00684F5A" w:rsidRDefault="00684F5A" w:rsidP="00684F5A">
      <w:pPr>
        <w:spacing w:after="240"/>
        <w:rPr>
          <w:rFonts w:ascii="Arial" w:eastAsia="Times New Roman" w:hAnsi="Arial" w:cs="Arial"/>
        </w:rPr>
      </w:pPr>
    </w:p>
    <w:sectPr w:rsidR="00684F5A" w:rsidRPr="00684F5A" w:rsidSect="006A6137">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84A0" w14:textId="77777777" w:rsidR="0051792B" w:rsidRDefault="0051792B" w:rsidP="00660C79">
      <w:pPr>
        <w:spacing w:line="240" w:lineRule="auto"/>
      </w:pPr>
      <w:r>
        <w:separator/>
      </w:r>
    </w:p>
  </w:endnote>
  <w:endnote w:type="continuationSeparator" w:id="0">
    <w:p w14:paraId="4D1BF8DC" w14:textId="77777777" w:rsidR="0051792B" w:rsidRDefault="0051792B" w:rsidP="00660C79">
      <w:pPr>
        <w:spacing w:line="240" w:lineRule="auto"/>
      </w:pPr>
      <w:r>
        <w:continuationSeparator/>
      </w:r>
    </w:p>
  </w:endnote>
  <w:endnote w:type="continuationNotice" w:id="1">
    <w:p w14:paraId="038EE7BD" w14:textId="77777777" w:rsidR="0051792B" w:rsidRDefault="005179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7195"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940CF04" wp14:editId="66527DE7">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CC96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0CF04"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8CC96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CD95DBD"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9EDD1C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4DE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9662"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05B502A1" wp14:editId="0C3289B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F410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502A1"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40F410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FAEF13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9D935C7" wp14:editId="6CF0CB0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DECD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5679DA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173438" w14:textId="77777777" w:rsidR="00917BB1" w:rsidRDefault="00917BB1" w:rsidP="00917BB1">
    <w:pPr>
      <w:pStyle w:val="Footer"/>
      <w:ind w:right="360"/>
    </w:pPr>
    <w:r>
      <w:rPr>
        <w:noProof/>
      </w:rPr>
      <w:drawing>
        <wp:inline distT="0" distB="0" distL="0" distR="0" wp14:anchorId="6CAA1DDD" wp14:editId="5548A26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9A7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397A4525" wp14:editId="22BB71DD">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D571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A4525"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69D571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FACD" w14:textId="77777777" w:rsidR="0051792B" w:rsidRDefault="0051792B" w:rsidP="00660C79">
      <w:pPr>
        <w:spacing w:line="240" w:lineRule="auto"/>
      </w:pPr>
      <w:r>
        <w:separator/>
      </w:r>
    </w:p>
  </w:footnote>
  <w:footnote w:type="continuationSeparator" w:id="0">
    <w:p w14:paraId="1EEA93BC" w14:textId="77777777" w:rsidR="0051792B" w:rsidRDefault="0051792B" w:rsidP="00660C79">
      <w:pPr>
        <w:spacing w:line="240" w:lineRule="auto"/>
      </w:pPr>
      <w:r>
        <w:continuationSeparator/>
      </w:r>
    </w:p>
  </w:footnote>
  <w:footnote w:type="continuationNotice" w:id="1">
    <w:p w14:paraId="2EDFC86D" w14:textId="77777777" w:rsidR="0051792B" w:rsidRDefault="0051792B">
      <w:pPr>
        <w:spacing w:line="240" w:lineRule="auto"/>
      </w:pPr>
    </w:p>
  </w:footnote>
  <w:footnote w:id="2">
    <w:p w14:paraId="53C3614E" w14:textId="77777777" w:rsidR="00A368C6" w:rsidRPr="005558BC" w:rsidRDefault="00A368C6" w:rsidP="00A368C6">
      <w:pPr>
        <w:pStyle w:val="FootnoteText"/>
        <w:ind w:left="0"/>
        <w:rPr>
          <w:sz w:val="24"/>
          <w:szCs w:val="24"/>
        </w:rPr>
      </w:pPr>
      <w:r w:rsidRPr="005558BC">
        <w:rPr>
          <w:rStyle w:val="FootnoteReference"/>
          <w:sz w:val="24"/>
          <w:szCs w:val="24"/>
        </w:rPr>
        <w:footnoteRef/>
      </w:r>
      <w:r w:rsidRPr="005558BC">
        <w:rPr>
          <w:sz w:val="24"/>
          <w:szCs w:val="24"/>
        </w:rPr>
        <w:t xml:space="preserve"> Based on information taken from </w:t>
      </w:r>
      <w:hyperlink r:id="rId1" w:history="1">
        <w:r w:rsidRPr="005558BC">
          <w:rPr>
            <w:rStyle w:val="Hyperlink"/>
            <w:sz w:val="24"/>
            <w:szCs w:val="24"/>
          </w:rPr>
          <w:t>Calculating dry weather flow (DWF) at waste water treatment works - GOV.UK (www.gov.uk)</w:t>
        </w:r>
      </w:hyperlink>
      <w:r w:rsidRPr="005558BC">
        <w:rPr>
          <w:sz w:val="24"/>
          <w:szCs w:val="24"/>
        </w:rPr>
        <w:t>,</w:t>
      </w:r>
    </w:p>
  </w:footnote>
  <w:footnote w:id="3">
    <w:p w14:paraId="05866E3B" w14:textId="77777777" w:rsidR="00A368C6" w:rsidRPr="00F7223B" w:rsidRDefault="00A368C6" w:rsidP="00A368C6">
      <w:pPr>
        <w:pStyle w:val="FootnoteText"/>
        <w:spacing w:before="0" w:after="100" w:afterAutospacing="1" w:line="360" w:lineRule="auto"/>
        <w:ind w:left="0"/>
        <w:rPr>
          <w:sz w:val="24"/>
          <w:szCs w:val="24"/>
        </w:rPr>
      </w:pPr>
      <w:r w:rsidRPr="00F7223B">
        <w:rPr>
          <w:rStyle w:val="FootnoteReference"/>
          <w:rFonts w:eastAsiaTheme="majorEastAsia"/>
          <w:sz w:val="24"/>
          <w:szCs w:val="24"/>
        </w:rPr>
        <w:footnoteRef/>
      </w:r>
      <w:r w:rsidRPr="00F7223B">
        <w:rPr>
          <w:sz w:val="24"/>
          <w:szCs w:val="24"/>
        </w:rPr>
        <w:t xml:space="preserve"> The autosampler can be defined as having taken a sample and is subsequently storing it for transportation.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DE0A"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0AA970" wp14:editId="0512ED1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BF1A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AA97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5BF1A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269C" w14:textId="0FE61E82"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21DE55E" wp14:editId="0FF51D78">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7A30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1DE55E"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6B7A30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9262E2">
      <w:rPr>
        <w:color w:val="6E7571" w:themeColor="text2"/>
      </w:rPr>
      <w:t xml:space="preserve">EASR Guidance: </w:t>
    </w:r>
    <w:r w:rsidR="003C064E">
      <w:rPr>
        <w:color w:val="6E7571" w:themeColor="text2"/>
      </w:rPr>
      <w:t xml:space="preserve">Permit Activity: </w:t>
    </w:r>
    <w:r w:rsidR="00722BC5">
      <w:rPr>
        <w:color w:val="6E7571" w:themeColor="text2"/>
      </w:rPr>
      <w:t>M</w:t>
    </w:r>
    <w:r w:rsidR="009262E2">
      <w:rPr>
        <w:color w:val="6E7571" w:themeColor="text2"/>
      </w:rPr>
      <w:t>unicipal STW</w:t>
    </w:r>
  </w:p>
  <w:p w14:paraId="270A027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97841A9" wp14:editId="257BCBA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10FB0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A38D"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E8AC0F3" wp14:editId="0C191654">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AB71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AC0F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C7AB71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729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0000000C"/>
    <w:name w:val="WW8Num16"/>
    <w:lvl w:ilvl="0">
      <w:start w:val="1"/>
      <w:numFmt w:val="bullet"/>
      <w:pStyle w:val="ListBullet"/>
      <w:lvlText w:val=""/>
      <w:lvlJc w:val="left"/>
      <w:pPr>
        <w:tabs>
          <w:tab w:val="num" w:pos="900"/>
        </w:tabs>
        <w:ind w:left="900" w:hanging="360"/>
      </w:pPr>
      <w:rPr>
        <w:rFonts w:ascii="Wingdings" w:hAnsi="Wingdings" w:cs="Wingdings"/>
      </w:rPr>
    </w:lvl>
  </w:abstractNum>
  <w:abstractNum w:abstractNumId="11" w15:restartNumberingAfterBreak="0">
    <w:nsid w:val="0AFC2073"/>
    <w:multiLevelType w:val="hybridMultilevel"/>
    <w:tmpl w:val="F03837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67766D"/>
    <w:multiLevelType w:val="hybridMultilevel"/>
    <w:tmpl w:val="FB24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A531BE"/>
    <w:multiLevelType w:val="hybridMultilevel"/>
    <w:tmpl w:val="ED2C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DC6805"/>
    <w:multiLevelType w:val="multilevel"/>
    <w:tmpl w:val="9D429560"/>
    <w:lvl w:ilvl="0">
      <w:start w:val="6"/>
      <w:numFmt w:val="decimal"/>
      <w:lvlText w:val="%1"/>
      <w:lvlJc w:val="left"/>
      <w:pPr>
        <w:ind w:left="360" w:hanging="360"/>
      </w:pPr>
      <w:rPr>
        <w:rFonts w:hint="default"/>
        <w:color w:val="016574" w:themeColor="hyperlink"/>
        <w:u w:val="single"/>
      </w:rPr>
    </w:lvl>
    <w:lvl w:ilvl="1">
      <w:start w:val="5"/>
      <w:numFmt w:val="decimal"/>
      <w:lvlText w:val="%1.%2"/>
      <w:lvlJc w:val="left"/>
      <w:pPr>
        <w:ind w:left="960" w:hanging="720"/>
      </w:pPr>
      <w:rPr>
        <w:rFonts w:hint="default"/>
        <w:color w:val="016574" w:themeColor="hyperlink"/>
        <w:u w:val="single"/>
      </w:rPr>
    </w:lvl>
    <w:lvl w:ilvl="2">
      <w:start w:val="1"/>
      <w:numFmt w:val="decimal"/>
      <w:lvlText w:val="%1.%2.%3"/>
      <w:lvlJc w:val="left"/>
      <w:pPr>
        <w:ind w:left="1560" w:hanging="1080"/>
      </w:pPr>
      <w:rPr>
        <w:rFonts w:hint="default"/>
        <w:color w:val="016574" w:themeColor="hyperlink"/>
        <w:u w:val="single"/>
      </w:rPr>
    </w:lvl>
    <w:lvl w:ilvl="3">
      <w:start w:val="1"/>
      <w:numFmt w:val="decimal"/>
      <w:lvlText w:val="%1.%2.%3.%4"/>
      <w:lvlJc w:val="left"/>
      <w:pPr>
        <w:ind w:left="2160" w:hanging="1440"/>
      </w:pPr>
      <w:rPr>
        <w:rFonts w:hint="default"/>
        <w:color w:val="016574" w:themeColor="hyperlink"/>
        <w:u w:val="single"/>
      </w:rPr>
    </w:lvl>
    <w:lvl w:ilvl="4">
      <w:start w:val="1"/>
      <w:numFmt w:val="decimal"/>
      <w:lvlText w:val="%1.%2.%3.%4.%5"/>
      <w:lvlJc w:val="left"/>
      <w:pPr>
        <w:ind w:left="2760" w:hanging="1800"/>
      </w:pPr>
      <w:rPr>
        <w:rFonts w:hint="default"/>
        <w:color w:val="016574" w:themeColor="hyperlink"/>
        <w:u w:val="single"/>
      </w:rPr>
    </w:lvl>
    <w:lvl w:ilvl="5">
      <w:start w:val="1"/>
      <w:numFmt w:val="decimal"/>
      <w:lvlText w:val="%1.%2.%3.%4.%5.%6"/>
      <w:lvlJc w:val="left"/>
      <w:pPr>
        <w:ind w:left="3360" w:hanging="2160"/>
      </w:pPr>
      <w:rPr>
        <w:rFonts w:hint="default"/>
        <w:color w:val="016574" w:themeColor="hyperlink"/>
        <w:u w:val="single"/>
      </w:rPr>
    </w:lvl>
    <w:lvl w:ilvl="6">
      <w:start w:val="1"/>
      <w:numFmt w:val="decimal"/>
      <w:lvlText w:val="%1.%2.%3.%4.%5.%6.%7"/>
      <w:lvlJc w:val="left"/>
      <w:pPr>
        <w:ind w:left="3960" w:hanging="2520"/>
      </w:pPr>
      <w:rPr>
        <w:rFonts w:hint="default"/>
        <w:color w:val="016574" w:themeColor="hyperlink"/>
        <w:u w:val="single"/>
      </w:rPr>
    </w:lvl>
    <w:lvl w:ilvl="7">
      <w:start w:val="1"/>
      <w:numFmt w:val="decimal"/>
      <w:lvlText w:val="%1.%2.%3.%4.%5.%6.%7.%8"/>
      <w:lvlJc w:val="left"/>
      <w:pPr>
        <w:ind w:left="4560" w:hanging="2880"/>
      </w:pPr>
      <w:rPr>
        <w:rFonts w:hint="default"/>
        <w:color w:val="016574" w:themeColor="hyperlink"/>
        <w:u w:val="single"/>
      </w:rPr>
    </w:lvl>
    <w:lvl w:ilvl="8">
      <w:start w:val="1"/>
      <w:numFmt w:val="decimal"/>
      <w:lvlText w:val="%1.%2.%3.%4.%5.%6.%7.%8.%9"/>
      <w:lvlJc w:val="left"/>
      <w:pPr>
        <w:ind w:left="5160" w:hanging="3240"/>
      </w:pPr>
      <w:rPr>
        <w:rFonts w:hint="default"/>
        <w:color w:val="016574" w:themeColor="hyperlink"/>
        <w:u w:val="single"/>
      </w:rPr>
    </w:lvl>
  </w:abstractNum>
  <w:abstractNum w:abstractNumId="15" w15:restartNumberingAfterBreak="0">
    <w:nsid w:val="124E63E5"/>
    <w:multiLevelType w:val="hybridMultilevel"/>
    <w:tmpl w:val="A900D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051EB2"/>
    <w:multiLevelType w:val="hybridMultilevel"/>
    <w:tmpl w:val="82AC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B6F51"/>
    <w:multiLevelType w:val="hybridMultilevel"/>
    <w:tmpl w:val="3EFCA0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C45EDF"/>
    <w:multiLevelType w:val="hybridMultilevel"/>
    <w:tmpl w:val="A900D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FF2078"/>
    <w:multiLevelType w:val="hybridMultilevel"/>
    <w:tmpl w:val="3EFCA0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226749"/>
    <w:multiLevelType w:val="hybridMultilevel"/>
    <w:tmpl w:val="44D0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5C15B6"/>
    <w:multiLevelType w:val="hybridMultilevel"/>
    <w:tmpl w:val="DB1A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7114B9"/>
    <w:multiLevelType w:val="hybridMultilevel"/>
    <w:tmpl w:val="3FF4E96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07E59"/>
    <w:multiLevelType w:val="hybridMultilevel"/>
    <w:tmpl w:val="3EFCA0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99554F"/>
    <w:multiLevelType w:val="multilevel"/>
    <w:tmpl w:val="081218E6"/>
    <w:lvl w:ilvl="0">
      <w:start w:val="1"/>
      <w:numFmt w:val="decimal"/>
      <w:lvlText w:val="%1."/>
      <w:lvlJc w:val="left"/>
      <w:pPr>
        <w:ind w:left="502" w:hanging="360"/>
      </w:pPr>
      <w:rPr>
        <w:rFonts w:hint="default"/>
        <w:b w:val="0"/>
        <w:bCs w:val="0"/>
        <w:color w:val="016574" w:themeColor="accent2"/>
        <w:sz w:val="40"/>
        <w:szCs w:val="40"/>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15:restartNumberingAfterBreak="0">
    <w:nsid w:val="57255C85"/>
    <w:multiLevelType w:val="hybridMultilevel"/>
    <w:tmpl w:val="D94E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2F4607"/>
    <w:multiLevelType w:val="hybridMultilevel"/>
    <w:tmpl w:val="744A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D702C"/>
    <w:multiLevelType w:val="hybridMultilevel"/>
    <w:tmpl w:val="2A1A8AA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E2341C"/>
    <w:multiLevelType w:val="hybridMultilevel"/>
    <w:tmpl w:val="798A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C7328"/>
    <w:multiLevelType w:val="hybridMultilevel"/>
    <w:tmpl w:val="3906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D2F28"/>
    <w:multiLevelType w:val="hybridMultilevel"/>
    <w:tmpl w:val="B33E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1B3150"/>
    <w:multiLevelType w:val="hybridMultilevel"/>
    <w:tmpl w:val="3EFCA0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406BE8"/>
    <w:multiLevelType w:val="hybridMultilevel"/>
    <w:tmpl w:val="CF06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2"/>
  </w:num>
  <w:num w:numId="12" w16cid:durableId="791052000">
    <w:abstractNumId w:val="20"/>
  </w:num>
  <w:num w:numId="13" w16cid:durableId="593785568">
    <w:abstractNumId w:val="35"/>
  </w:num>
  <w:num w:numId="14" w16cid:durableId="1624077341">
    <w:abstractNumId w:val="26"/>
  </w:num>
  <w:num w:numId="15" w16cid:durableId="734934706">
    <w:abstractNumId w:val="36"/>
  </w:num>
  <w:num w:numId="16" w16cid:durableId="200938896">
    <w:abstractNumId w:val="30"/>
  </w:num>
  <w:num w:numId="17" w16cid:durableId="1577084993">
    <w:abstractNumId w:val="28"/>
  </w:num>
  <w:num w:numId="18" w16cid:durableId="527837706">
    <w:abstractNumId w:val="10"/>
  </w:num>
  <w:num w:numId="19" w16cid:durableId="45301163">
    <w:abstractNumId w:val="11"/>
  </w:num>
  <w:num w:numId="20" w16cid:durableId="1224828835">
    <w:abstractNumId w:val="21"/>
  </w:num>
  <w:num w:numId="21" w16cid:durableId="1307055457">
    <w:abstractNumId w:val="27"/>
  </w:num>
  <w:num w:numId="22" w16cid:durableId="1731727757">
    <w:abstractNumId w:val="33"/>
  </w:num>
  <w:num w:numId="23" w16cid:durableId="1522861336">
    <w:abstractNumId w:val="22"/>
  </w:num>
  <w:num w:numId="24" w16cid:durableId="1214274616">
    <w:abstractNumId w:val="15"/>
  </w:num>
  <w:num w:numId="25" w16cid:durableId="1316837474">
    <w:abstractNumId w:val="19"/>
  </w:num>
  <w:num w:numId="26" w16cid:durableId="1581793885">
    <w:abstractNumId w:val="25"/>
  </w:num>
  <w:num w:numId="27" w16cid:durableId="1499149821">
    <w:abstractNumId w:val="18"/>
  </w:num>
  <w:num w:numId="28" w16cid:durableId="1332679733">
    <w:abstractNumId w:val="17"/>
  </w:num>
  <w:num w:numId="29" w16cid:durableId="528448389">
    <w:abstractNumId w:val="29"/>
  </w:num>
  <w:num w:numId="30" w16cid:durableId="81606210">
    <w:abstractNumId w:val="34"/>
  </w:num>
  <w:num w:numId="31" w16cid:durableId="32387035">
    <w:abstractNumId w:val="23"/>
  </w:num>
  <w:num w:numId="32" w16cid:durableId="815605891">
    <w:abstractNumId w:val="31"/>
  </w:num>
  <w:num w:numId="33" w16cid:durableId="184557496">
    <w:abstractNumId w:val="16"/>
  </w:num>
  <w:num w:numId="34" w16cid:durableId="1985349675">
    <w:abstractNumId w:val="12"/>
  </w:num>
  <w:num w:numId="35" w16cid:durableId="114762850">
    <w:abstractNumId w:val="14"/>
  </w:num>
  <w:num w:numId="36" w16cid:durableId="1642808497">
    <w:abstractNumId w:val="13"/>
  </w:num>
  <w:num w:numId="37" w16cid:durableId="2690536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C6"/>
    <w:rsid w:val="000033B0"/>
    <w:rsid w:val="0000723D"/>
    <w:rsid w:val="00017D90"/>
    <w:rsid w:val="000223C5"/>
    <w:rsid w:val="0003257F"/>
    <w:rsid w:val="00032829"/>
    <w:rsid w:val="00040561"/>
    <w:rsid w:val="00070937"/>
    <w:rsid w:val="000A07E6"/>
    <w:rsid w:val="000B1FD3"/>
    <w:rsid w:val="000B7559"/>
    <w:rsid w:val="000C1B83"/>
    <w:rsid w:val="000C76A7"/>
    <w:rsid w:val="000E0D15"/>
    <w:rsid w:val="000E2532"/>
    <w:rsid w:val="000F3C75"/>
    <w:rsid w:val="0010495E"/>
    <w:rsid w:val="00105F31"/>
    <w:rsid w:val="00106098"/>
    <w:rsid w:val="00131765"/>
    <w:rsid w:val="00141594"/>
    <w:rsid w:val="00143B6E"/>
    <w:rsid w:val="0017751F"/>
    <w:rsid w:val="00191CFA"/>
    <w:rsid w:val="00193514"/>
    <w:rsid w:val="00196131"/>
    <w:rsid w:val="00196D1D"/>
    <w:rsid w:val="001E4E9F"/>
    <w:rsid w:val="001F1151"/>
    <w:rsid w:val="001F6FAB"/>
    <w:rsid w:val="001F7C85"/>
    <w:rsid w:val="002043BF"/>
    <w:rsid w:val="00236552"/>
    <w:rsid w:val="002465C8"/>
    <w:rsid w:val="00281BB1"/>
    <w:rsid w:val="00290B1F"/>
    <w:rsid w:val="002B6CDC"/>
    <w:rsid w:val="002C0EBE"/>
    <w:rsid w:val="002D4340"/>
    <w:rsid w:val="002D7CB2"/>
    <w:rsid w:val="0030096D"/>
    <w:rsid w:val="00304A3F"/>
    <w:rsid w:val="00305D41"/>
    <w:rsid w:val="00307E3D"/>
    <w:rsid w:val="003166D3"/>
    <w:rsid w:val="00317618"/>
    <w:rsid w:val="00323882"/>
    <w:rsid w:val="003411EB"/>
    <w:rsid w:val="00341414"/>
    <w:rsid w:val="00357575"/>
    <w:rsid w:val="00363140"/>
    <w:rsid w:val="00394726"/>
    <w:rsid w:val="003A69EB"/>
    <w:rsid w:val="003C064E"/>
    <w:rsid w:val="003F5384"/>
    <w:rsid w:val="004073BC"/>
    <w:rsid w:val="004133B7"/>
    <w:rsid w:val="004165ED"/>
    <w:rsid w:val="00424FB6"/>
    <w:rsid w:val="00425C52"/>
    <w:rsid w:val="004350D5"/>
    <w:rsid w:val="0043787B"/>
    <w:rsid w:val="0044053B"/>
    <w:rsid w:val="00444AA1"/>
    <w:rsid w:val="004544BD"/>
    <w:rsid w:val="00486541"/>
    <w:rsid w:val="004A5A47"/>
    <w:rsid w:val="004B79BB"/>
    <w:rsid w:val="004C2587"/>
    <w:rsid w:val="004E1575"/>
    <w:rsid w:val="004E2F58"/>
    <w:rsid w:val="004F54CF"/>
    <w:rsid w:val="00510A83"/>
    <w:rsid w:val="00512DC7"/>
    <w:rsid w:val="0051792B"/>
    <w:rsid w:val="00551989"/>
    <w:rsid w:val="00557C57"/>
    <w:rsid w:val="00587EA6"/>
    <w:rsid w:val="005A355E"/>
    <w:rsid w:val="005A5680"/>
    <w:rsid w:val="005D1213"/>
    <w:rsid w:val="005D67EA"/>
    <w:rsid w:val="005F4F63"/>
    <w:rsid w:val="006007CD"/>
    <w:rsid w:val="006243FF"/>
    <w:rsid w:val="00645E12"/>
    <w:rsid w:val="00660C79"/>
    <w:rsid w:val="00676C91"/>
    <w:rsid w:val="00684F5A"/>
    <w:rsid w:val="00690300"/>
    <w:rsid w:val="00690B04"/>
    <w:rsid w:val="006A6137"/>
    <w:rsid w:val="006B2D1F"/>
    <w:rsid w:val="006B7307"/>
    <w:rsid w:val="006D16CE"/>
    <w:rsid w:val="006F2F77"/>
    <w:rsid w:val="00715B11"/>
    <w:rsid w:val="00716D86"/>
    <w:rsid w:val="00720839"/>
    <w:rsid w:val="00722BC5"/>
    <w:rsid w:val="00725053"/>
    <w:rsid w:val="007404EA"/>
    <w:rsid w:val="00751749"/>
    <w:rsid w:val="0076236F"/>
    <w:rsid w:val="00764B23"/>
    <w:rsid w:val="00776453"/>
    <w:rsid w:val="007777DA"/>
    <w:rsid w:val="00780C20"/>
    <w:rsid w:val="007963D6"/>
    <w:rsid w:val="007B03E0"/>
    <w:rsid w:val="007C3F12"/>
    <w:rsid w:val="007D441B"/>
    <w:rsid w:val="007E5517"/>
    <w:rsid w:val="007F122A"/>
    <w:rsid w:val="008003EA"/>
    <w:rsid w:val="00801105"/>
    <w:rsid w:val="008372B5"/>
    <w:rsid w:val="00842667"/>
    <w:rsid w:val="00843EDF"/>
    <w:rsid w:val="00861B46"/>
    <w:rsid w:val="00871AAF"/>
    <w:rsid w:val="00890D9A"/>
    <w:rsid w:val="008912D5"/>
    <w:rsid w:val="008B26B8"/>
    <w:rsid w:val="008B66AE"/>
    <w:rsid w:val="008C1A73"/>
    <w:rsid w:val="008D113C"/>
    <w:rsid w:val="008D376F"/>
    <w:rsid w:val="009119E7"/>
    <w:rsid w:val="00911B06"/>
    <w:rsid w:val="00917BB1"/>
    <w:rsid w:val="009262E2"/>
    <w:rsid w:val="009356E1"/>
    <w:rsid w:val="00940704"/>
    <w:rsid w:val="00941FEE"/>
    <w:rsid w:val="009618D4"/>
    <w:rsid w:val="00975D21"/>
    <w:rsid w:val="00980531"/>
    <w:rsid w:val="00981198"/>
    <w:rsid w:val="0098237D"/>
    <w:rsid w:val="00983E16"/>
    <w:rsid w:val="0099486A"/>
    <w:rsid w:val="009A240D"/>
    <w:rsid w:val="009C5F29"/>
    <w:rsid w:val="009F407B"/>
    <w:rsid w:val="00A17F6C"/>
    <w:rsid w:val="00A2326E"/>
    <w:rsid w:val="00A259E5"/>
    <w:rsid w:val="00A368C6"/>
    <w:rsid w:val="00A56DE0"/>
    <w:rsid w:val="00A60B0B"/>
    <w:rsid w:val="00A6234F"/>
    <w:rsid w:val="00A6506C"/>
    <w:rsid w:val="00A74FF1"/>
    <w:rsid w:val="00A760C4"/>
    <w:rsid w:val="00A8465C"/>
    <w:rsid w:val="00A9349C"/>
    <w:rsid w:val="00AE068C"/>
    <w:rsid w:val="00AE43E6"/>
    <w:rsid w:val="00B04941"/>
    <w:rsid w:val="00B06BDB"/>
    <w:rsid w:val="00B24C56"/>
    <w:rsid w:val="00B360A6"/>
    <w:rsid w:val="00B36691"/>
    <w:rsid w:val="00B46958"/>
    <w:rsid w:val="00B46E48"/>
    <w:rsid w:val="00B5462D"/>
    <w:rsid w:val="00B54CF4"/>
    <w:rsid w:val="00B66238"/>
    <w:rsid w:val="00B94D90"/>
    <w:rsid w:val="00BD3B5A"/>
    <w:rsid w:val="00BE11A8"/>
    <w:rsid w:val="00BE2613"/>
    <w:rsid w:val="00BE4694"/>
    <w:rsid w:val="00C1255D"/>
    <w:rsid w:val="00C569B9"/>
    <w:rsid w:val="00C76F04"/>
    <w:rsid w:val="00C9276E"/>
    <w:rsid w:val="00CD200F"/>
    <w:rsid w:val="00CD30C9"/>
    <w:rsid w:val="00CD6AC0"/>
    <w:rsid w:val="00CF7EFB"/>
    <w:rsid w:val="00D02E04"/>
    <w:rsid w:val="00D0698F"/>
    <w:rsid w:val="00D30573"/>
    <w:rsid w:val="00D32A76"/>
    <w:rsid w:val="00D35448"/>
    <w:rsid w:val="00D42336"/>
    <w:rsid w:val="00D604F9"/>
    <w:rsid w:val="00D846DB"/>
    <w:rsid w:val="00D94830"/>
    <w:rsid w:val="00D949AD"/>
    <w:rsid w:val="00D954AD"/>
    <w:rsid w:val="00DA7BB7"/>
    <w:rsid w:val="00DB432D"/>
    <w:rsid w:val="00DF0877"/>
    <w:rsid w:val="00E11A56"/>
    <w:rsid w:val="00E2014F"/>
    <w:rsid w:val="00E326A4"/>
    <w:rsid w:val="00E45CBE"/>
    <w:rsid w:val="00E61D0D"/>
    <w:rsid w:val="00E63846"/>
    <w:rsid w:val="00E67C75"/>
    <w:rsid w:val="00E70241"/>
    <w:rsid w:val="00E7557A"/>
    <w:rsid w:val="00E84CF5"/>
    <w:rsid w:val="00EC12D6"/>
    <w:rsid w:val="00EC1F6F"/>
    <w:rsid w:val="00EC6A73"/>
    <w:rsid w:val="00EC6D83"/>
    <w:rsid w:val="00ED3D45"/>
    <w:rsid w:val="00EF215D"/>
    <w:rsid w:val="00F06C6C"/>
    <w:rsid w:val="00F07048"/>
    <w:rsid w:val="00F72274"/>
    <w:rsid w:val="00F7634B"/>
    <w:rsid w:val="00F93621"/>
    <w:rsid w:val="00F9766F"/>
    <w:rsid w:val="00FA19E1"/>
    <w:rsid w:val="00FD086A"/>
    <w:rsid w:val="00FD187B"/>
    <w:rsid w:val="00FE0525"/>
    <w:rsid w:val="00FE1324"/>
    <w:rsid w:val="00FE3ADB"/>
    <w:rsid w:val="00FE3B27"/>
    <w:rsid w:val="00FE45D6"/>
    <w:rsid w:val="00FF3DD4"/>
    <w:rsid w:val="00FF4AAD"/>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AE07F"/>
  <w15:chartTrackingRefBased/>
  <w15:docId w15:val="{E7E5131D-2EC4-4C11-9495-E9820C0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98"/>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Emphasis">
    <w:name w:val="Emphasis"/>
    <w:qFormat/>
    <w:rsid w:val="00A368C6"/>
    <w:rPr>
      <w:i/>
      <w:iCs/>
    </w:rPr>
  </w:style>
  <w:style w:type="character" w:customStyle="1" w:styleId="Bold">
    <w:name w:val="Bold"/>
    <w:rsid w:val="00A368C6"/>
    <w:rPr>
      <w:b/>
    </w:rPr>
  </w:style>
  <w:style w:type="paragraph" w:customStyle="1" w:styleId="TableBody">
    <w:name w:val="TableBody"/>
    <w:basedOn w:val="Normal"/>
    <w:rsid w:val="00A368C6"/>
    <w:pPr>
      <w:keepNext/>
      <w:keepLines/>
      <w:suppressAutoHyphens/>
      <w:overflowPunct w:val="0"/>
      <w:autoSpaceDE w:val="0"/>
      <w:spacing w:before="120" w:after="60" w:line="240" w:lineRule="auto"/>
      <w:ind w:left="113" w:right="57"/>
      <w:textAlignment w:val="baseline"/>
    </w:pPr>
    <w:rPr>
      <w:rFonts w:ascii="Arial" w:eastAsia="Times New Roman" w:hAnsi="Arial" w:cs="Arial"/>
      <w:sz w:val="20"/>
      <w:lang w:eastAsia="zh-CN"/>
    </w:rPr>
  </w:style>
  <w:style w:type="paragraph" w:styleId="ListParagraph">
    <w:name w:val="List Paragraph"/>
    <w:basedOn w:val="Normal"/>
    <w:uiPriority w:val="34"/>
    <w:qFormat/>
    <w:rsid w:val="00A368C6"/>
    <w:pPr>
      <w:ind w:left="720"/>
      <w:contextualSpacing/>
    </w:pPr>
  </w:style>
  <w:style w:type="paragraph" w:styleId="BodyText">
    <w:name w:val="Body Text"/>
    <w:basedOn w:val="Normal"/>
    <w:link w:val="BodyTextChar"/>
    <w:uiPriority w:val="99"/>
    <w:unhideWhenUsed/>
    <w:rsid w:val="00A368C6"/>
    <w:pPr>
      <w:spacing w:after="120"/>
    </w:pPr>
  </w:style>
  <w:style w:type="character" w:customStyle="1" w:styleId="BodyTextChar">
    <w:name w:val="Body Text Char"/>
    <w:basedOn w:val="DefaultParagraphFont"/>
    <w:link w:val="BodyText"/>
    <w:uiPriority w:val="99"/>
    <w:rsid w:val="00A368C6"/>
    <w:rPr>
      <w:rFonts w:eastAsiaTheme="minorEastAsia"/>
    </w:rPr>
  </w:style>
  <w:style w:type="paragraph" w:styleId="ListBullet">
    <w:name w:val="List Bullet"/>
    <w:basedOn w:val="BodyText"/>
    <w:rsid w:val="00A368C6"/>
    <w:pPr>
      <w:numPr>
        <w:numId w:val="18"/>
      </w:numPr>
      <w:tabs>
        <w:tab w:val="clear" w:pos="900"/>
        <w:tab w:val="left" w:pos="1134"/>
        <w:tab w:val="left" w:pos="3119"/>
        <w:tab w:val="left" w:pos="5954"/>
      </w:tabs>
      <w:suppressAutoHyphens/>
      <w:overflowPunct w:val="0"/>
      <w:autoSpaceDE w:val="0"/>
      <w:spacing w:before="180" w:line="240" w:lineRule="auto"/>
      <w:ind w:left="1134" w:hanging="425"/>
      <w:textAlignment w:val="baseline"/>
    </w:pPr>
    <w:rPr>
      <w:rFonts w:ascii="Arial" w:eastAsia="Times New Roman" w:hAnsi="Arial" w:cs="Arial"/>
      <w:szCs w:val="28"/>
      <w:lang w:eastAsia="zh-CN"/>
    </w:rPr>
  </w:style>
  <w:style w:type="character" w:styleId="FootnoteReference">
    <w:name w:val="footnote reference"/>
    <w:rsid w:val="00A368C6"/>
    <w:rPr>
      <w:vertAlign w:val="superscript"/>
    </w:rPr>
  </w:style>
  <w:style w:type="paragraph" w:styleId="FootnoteText">
    <w:name w:val="footnote text"/>
    <w:basedOn w:val="BodyText"/>
    <w:link w:val="FootnoteTextChar"/>
    <w:rsid w:val="00A368C6"/>
    <w:pPr>
      <w:tabs>
        <w:tab w:val="left" w:pos="3119"/>
        <w:tab w:val="left" w:pos="5954"/>
      </w:tabs>
      <w:suppressAutoHyphens/>
      <w:overflowPunct w:val="0"/>
      <w:autoSpaceDE w:val="0"/>
      <w:spacing w:before="180" w:after="60" w:line="240" w:lineRule="auto"/>
      <w:ind w:left="851"/>
      <w:textAlignment w:val="baseline"/>
    </w:pPr>
    <w:rPr>
      <w:rFonts w:ascii="Arial" w:eastAsia="Times New Roman" w:hAnsi="Arial" w:cs="Arial"/>
      <w:sz w:val="20"/>
      <w:szCs w:val="28"/>
      <w:lang w:eastAsia="zh-CN"/>
    </w:rPr>
  </w:style>
  <w:style w:type="character" w:customStyle="1" w:styleId="FootnoteTextChar">
    <w:name w:val="Footnote Text Char"/>
    <w:basedOn w:val="DefaultParagraphFont"/>
    <w:link w:val="FootnoteText"/>
    <w:rsid w:val="00A368C6"/>
    <w:rPr>
      <w:rFonts w:ascii="Arial" w:eastAsia="Times New Roman" w:hAnsi="Arial" w:cs="Arial"/>
      <w:sz w:val="20"/>
      <w:szCs w:val="28"/>
      <w:lang w:eastAsia="zh-CN"/>
    </w:rPr>
  </w:style>
  <w:style w:type="table" w:styleId="TableGrid">
    <w:name w:val="Table Grid"/>
    <w:basedOn w:val="TableNormal"/>
    <w:uiPriority w:val="59"/>
    <w:rsid w:val="00A368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rsid w:val="00A368C6"/>
    <w:rPr>
      <w:strike w:val="0"/>
      <w:dstrike w:val="0"/>
      <w:sz w:val="24"/>
      <w:szCs w:val="20"/>
      <w:vertAlign w:val="superscript"/>
    </w:rPr>
  </w:style>
  <w:style w:type="character" w:styleId="Strong">
    <w:name w:val="Strong"/>
    <w:qFormat/>
    <w:rsid w:val="00A368C6"/>
    <w:rPr>
      <w:b/>
      <w:bCs/>
    </w:rPr>
  </w:style>
  <w:style w:type="paragraph" w:styleId="TOCHeading">
    <w:name w:val="TOC Heading"/>
    <w:basedOn w:val="Heading1"/>
    <w:next w:val="Normal"/>
    <w:uiPriority w:val="39"/>
    <w:unhideWhenUsed/>
    <w:qFormat/>
    <w:rsid w:val="00191CFA"/>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91CFA"/>
    <w:pPr>
      <w:spacing w:after="100"/>
    </w:pPr>
  </w:style>
  <w:style w:type="paragraph" w:styleId="TOC2">
    <w:name w:val="toc 2"/>
    <w:basedOn w:val="Normal"/>
    <w:next w:val="Normal"/>
    <w:autoRedefine/>
    <w:uiPriority w:val="39"/>
    <w:unhideWhenUsed/>
    <w:rsid w:val="00191CFA"/>
    <w:pPr>
      <w:spacing w:after="100"/>
      <w:ind w:left="240"/>
    </w:pPr>
  </w:style>
  <w:style w:type="paragraph" w:styleId="TOC3">
    <w:name w:val="toc 3"/>
    <w:basedOn w:val="Normal"/>
    <w:next w:val="Normal"/>
    <w:autoRedefine/>
    <w:uiPriority w:val="39"/>
    <w:unhideWhenUsed/>
    <w:rsid w:val="00191CFA"/>
    <w:pPr>
      <w:spacing w:after="100"/>
      <w:ind w:left="480"/>
    </w:pPr>
  </w:style>
  <w:style w:type="character" w:styleId="CommentReference">
    <w:name w:val="annotation reference"/>
    <w:basedOn w:val="DefaultParagraphFont"/>
    <w:uiPriority w:val="99"/>
    <w:semiHidden/>
    <w:unhideWhenUsed/>
    <w:rsid w:val="00A760C4"/>
    <w:rPr>
      <w:sz w:val="16"/>
      <w:szCs w:val="16"/>
    </w:rPr>
  </w:style>
  <w:style w:type="paragraph" w:styleId="CommentText">
    <w:name w:val="annotation text"/>
    <w:basedOn w:val="Normal"/>
    <w:link w:val="CommentTextChar"/>
    <w:uiPriority w:val="99"/>
    <w:unhideWhenUsed/>
    <w:rsid w:val="00A760C4"/>
    <w:pPr>
      <w:spacing w:line="240" w:lineRule="auto"/>
    </w:pPr>
    <w:rPr>
      <w:sz w:val="20"/>
      <w:szCs w:val="20"/>
    </w:rPr>
  </w:style>
  <w:style w:type="character" w:customStyle="1" w:styleId="CommentTextChar">
    <w:name w:val="Comment Text Char"/>
    <w:basedOn w:val="DefaultParagraphFont"/>
    <w:link w:val="CommentText"/>
    <w:uiPriority w:val="99"/>
    <w:rsid w:val="00A760C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60C4"/>
    <w:rPr>
      <w:b/>
      <w:bCs/>
    </w:rPr>
  </w:style>
  <w:style w:type="character" w:customStyle="1" w:styleId="CommentSubjectChar">
    <w:name w:val="Comment Subject Char"/>
    <w:basedOn w:val="CommentTextChar"/>
    <w:link w:val="CommentSubject"/>
    <w:uiPriority w:val="99"/>
    <w:semiHidden/>
    <w:rsid w:val="00A760C4"/>
    <w:rPr>
      <w:rFonts w:eastAsiaTheme="minorEastAsia"/>
      <w:b/>
      <w:bCs/>
      <w:sz w:val="20"/>
      <w:szCs w:val="20"/>
    </w:rPr>
  </w:style>
  <w:style w:type="character" w:styleId="FollowedHyperlink">
    <w:name w:val="FollowedHyperlink"/>
    <w:basedOn w:val="DefaultParagraphFont"/>
    <w:uiPriority w:val="99"/>
    <w:semiHidden/>
    <w:unhideWhenUsed/>
    <w:rsid w:val="000B1FD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941451843">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uk/uksi/1994/2842/contents/ma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pa.org.uk/water/water_publication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iwem.org/special-interest-groups/urban-drainage-grou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alculating-dry-weather-flow-dwf-at-waste-water-treatment-works/calculating-dry-weather-flow-dwf-at-waste-water-treatmen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7dd4d6b0-2bd1-40f7-94aa-8d4785e79023"/>
    <ds:schemaRef ds:uri="http://purl.org/dc/dcmitype/"/>
    <ds:schemaRef ds:uri="http://purl.org/dc/terms/"/>
    <ds:schemaRef ds:uri="ce5b52f7-9556-48ad-bf4f-1238de82834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9F0292E-5BE5-4AFB-AD93-9E1B64098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39</Pages>
  <Words>9077</Words>
  <Characters>51742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60698</CharactersWithSpaces>
  <SharedDoc>false</SharedDoc>
  <HLinks>
    <vt:vector size="372" baseType="variant">
      <vt:variant>
        <vt:i4>6684717</vt:i4>
      </vt:variant>
      <vt:variant>
        <vt:i4>387</vt:i4>
      </vt:variant>
      <vt:variant>
        <vt:i4>0</vt:i4>
      </vt:variant>
      <vt:variant>
        <vt:i4>5</vt:i4>
      </vt:variant>
      <vt:variant>
        <vt:lpwstr>http://www.legislation.gov.uk/uksi/1994/2842/contents/made</vt:lpwstr>
      </vt:variant>
      <vt:variant>
        <vt:lpwstr/>
      </vt:variant>
      <vt:variant>
        <vt:i4>1376370</vt:i4>
      </vt:variant>
      <vt:variant>
        <vt:i4>372</vt:i4>
      </vt:variant>
      <vt:variant>
        <vt:i4>0</vt:i4>
      </vt:variant>
      <vt:variant>
        <vt:i4>5</vt:i4>
      </vt:variant>
      <vt:variant>
        <vt:lpwstr>http://www.sepa.org.uk/water/water_publications.aspx</vt:lpwstr>
      </vt:variant>
      <vt:variant>
        <vt:lpwstr>docs</vt:lpwstr>
      </vt:variant>
      <vt:variant>
        <vt:i4>8126520</vt:i4>
      </vt:variant>
      <vt:variant>
        <vt:i4>363</vt:i4>
      </vt:variant>
      <vt:variant>
        <vt:i4>0</vt:i4>
      </vt:variant>
      <vt:variant>
        <vt:i4>5</vt:i4>
      </vt:variant>
      <vt:variant>
        <vt:lpwstr>https://www.ciwem.org/special-interest-groups/urban-drainage-group</vt:lpwstr>
      </vt:variant>
      <vt:variant>
        <vt:lpwstr/>
      </vt:variant>
      <vt:variant>
        <vt:i4>3539032</vt:i4>
      </vt:variant>
      <vt:variant>
        <vt:i4>345</vt:i4>
      </vt:variant>
      <vt:variant>
        <vt:i4>0</vt:i4>
      </vt:variant>
      <vt:variant>
        <vt:i4>5</vt:i4>
      </vt:variant>
      <vt:variant>
        <vt:lpwstr>mailto:equalities@sepa.org.uk</vt:lpwstr>
      </vt:variant>
      <vt:variant>
        <vt:lpwstr/>
      </vt:variant>
      <vt:variant>
        <vt:i4>1572913</vt:i4>
      </vt:variant>
      <vt:variant>
        <vt:i4>338</vt:i4>
      </vt:variant>
      <vt:variant>
        <vt:i4>0</vt:i4>
      </vt:variant>
      <vt:variant>
        <vt:i4>5</vt:i4>
      </vt:variant>
      <vt:variant>
        <vt:lpwstr/>
      </vt:variant>
      <vt:variant>
        <vt:lpwstr>_Toc193708392</vt:lpwstr>
      </vt:variant>
      <vt:variant>
        <vt:i4>1572913</vt:i4>
      </vt:variant>
      <vt:variant>
        <vt:i4>332</vt:i4>
      </vt:variant>
      <vt:variant>
        <vt:i4>0</vt:i4>
      </vt:variant>
      <vt:variant>
        <vt:i4>5</vt:i4>
      </vt:variant>
      <vt:variant>
        <vt:lpwstr/>
      </vt:variant>
      <vt:variant>
        <vt:lpwstr>_Toc193708391</vt:lpwstr>
      </vt:variant>
      <vt:variant>
        <vt:i4>1572913</vt:i4>
      </vt:variant>
      <vt:variant>
        <vt:i4>326</vt:i4>
      </vt:variant>
      <vt:variant>
        <vt:i4>0</vt:i4>
      </vt:variant>
      <vt:variant>
        <vt:i4>5</vt:i4>
      </vt:variant>
      <vt:variant>
        <vt:lpwstr/>
      </vt:variant>
      <vt:variant>
        <vt:lpwstr>_Toc193708390</vt:lpwstr>
      </vt:variant>
      <vt:variant>
        <vt:i4>1638449</vt:i4>
      </vt:variant>
      <vt:variant>
        <vt:i4>320</vt:i4>
      </vt:variant>
      <vt:variant>
        <vt:i4>0</vt:i4>
      </vt:variant>
      <vt:variant>
        <vt:i4>5</vt:i4>
      </vt:variant>
      <vt:variant>
        <vt:lpwstr/>
      </vt:variant>
      <vt:variant>
        <vt:lpwstr>_Toc193708389</vt:lpwstr>
      </vt:variant>
      <vt:variant>
        <vt:i4>1638449</vt:i4>
      </vt:variant>
      <vt:variant>
        <vt:i4>314</vt:i4>
      </vt:variant>
      <vt:variant>
        <vt:i4>0</vt:i4>
      </vt:variant>
      <vt:variant>
        <vt:i4>5</vt:i4>
      </vt:variant>
      <vt:variant>
        <vt:lpwstr/>
      </vt:variant>
      <vt:variant>
        <vt:lpwstr>_Toc193708388</vt:lpwstr>
      </vt:variant>
      <vt:variant>
        <vt:i4>1638449</vt:i4>
      </vt:variant>
      <vt:variant>
        <vt:i4>308</vt:i4>
      </vt:variant>
      <vt:variant>
        <vt:i4>0</vt:i4>
      </vt:variant>
      <vt:variant>
        <vt:i4>5</vt:i4>
      </vt:variant>
      <vt:variant>
        <vt:lpwstr/>
      </vt:variant>
      <vt:variant>
        <vt:lpwstr>_Toc193708387</vt:lpwstr>
      </vt:variant>
      <vt:variant>
        <vt:i4>1638449</vt:i4>
      </vt:variant>
      <vt:variant>
        <vt:i4>302</vt:i4>
      </vt:variant>
      <vt:variant>
        <vt:i4>0</vt:i4>
      </vt:variant>
      <vt:variant>
        <vt:i4>5</vt:i4>
      </vt:variant>
      <vt:variant>
        <vt:lpwstr/>
      </vt:variant>
      <vt:variant>
        <vt:lpwstr>_Toc193708386</vt:lpwstr>
      </vt:variant>
      <vt:variant>
        <vt:i4>1638449</vt:i4>
      </vt:variant>
      <vt:variant>
        <vt:i4>296</vt:i4>
      </vt:variant>
      <vt:variant>
        <vt:i4>0</vt:i4>
      </vt:variant>
      <vt:variant>
        <vt:i4>5</vt:i4>
      </vt:variant>
      <vt:variant>
        <vt:lpwstr/>
      </vt:variant>
      <vt:variant>
        <vt:lpwstr>_Toc193708385</vt:lpwstr>
      </vt:variant>
      <vt:variant>
        <vt:i4>1638449</vt:i4>
      </vt:variant>
      <vt:variant>
        <vt:i4>290</vt:i4>
      </vt:variant>
      <vt:variant>
        <vt:i4>0</vt:i4>
      </vt:variant>
      <vt:variant>
        <vt:i4>5</vt:i4>
      </vt:variant>
      <vt:variant>
        <vt:lpwstr/>
      </vt:variant>
      <vt:variant>
        <vt:lpwstr>_Toc193708384</vt:lpwstr>
      </vt:variant>
      <vt:variant>
        <vt:i4>1638449</vt:i4>
      </vt:variant>
      <vt:variant>
        <vt:i4>284</vt:i4>
      </vt:variant>
      <vt:variant>
        <vt:i4>0</vt:i4>
      </vt:variant>
      <vt:variant>
        <vt:i4>5</vt:i4>
      </vt:variant>
      <vt:variant>
        <vt:lpwstr/>
      </vt:variant>
      <vt:variant>
        <vt:lpwstr>_Toc193708383</vt:lpwstr>
      </vt:variant>
      <vt:variant>
        <vt:i4>1638449</vt:i4>
      </vt:variant>
      <vt:variant>
        <vt:i4>278</vt:i4>
      </vt:variant>
      <vt:variant>
        <vt:i4>0</vt:i4>
      </vt:variant>
      <vt:variant>
        <vt:i4>5</vt:i4>
      </vt:variant>
      <vt:variant>
        <vt:lpwstr/>
      </vt:variant>
      <vt:variant>
        <vt:lpwstr>_Toc193708382</vt:lpwstr>
      </vt:variant>
      <vt:variant>
        <vt:i4>1638449</vt:i4>
      </vt:variant>
      <vt:variant>
        <vt:i4>272</vt:i4>
      </vt:variant>
      <vt:variant>
        <vt:i4>0</vt:i4>
      </vt:variant>
      <vt:variant>
        <vt:i4>5</vt:i4>
      </vt:variant>
      <vt:variant>
        <vt:lpwstr/>
      </vt:variant>
      <vt:variant>
        <vt:lpwstr>_Toc193708381</vt:lpwstr>
      </vt:variant>
      <vt:variant>
        <vt:i4>1638449</vt:i4>
      </vt:variant>
      <vt:variant>
        <vt:i4>266</vt:i4>
      </vt:variant>
      <vt:variant>
        <vt:i4>0</vt:i4>
      </vt:variant>
      <vt:variant>
        <vt:i4>5</vt:i4>
      </vt:variant>
      <vt:variant>
        <vt:lpwstr/>
      </vt:variant>
      <vt:variant>
        <vt:lpwstr>_Toc193708380</vt:lpwstr>
      </vt:variant>
      <vt:variant>
        <vt:i4>1441841</vt:i4>
      </vt:variant>
      <vt:variant>
        <vt:i4>260</vt:i4>
      </vt:variant>
      <vt:variant>
        <vt:i4>0</vt:i4>
      </vt:variant>
      <vt:variant>
        <vt:i4>5</vt:i4>
      </vt:variant>
      <vt:variant>
        <vt:lpwstr/>
      </vt:variant>
      <vt:variant>
        <vt:lpwstr>_Toc193708379</vt:lpwstr>
      </vt:variant>
      <vt:variant>
        <vt:i4>1441841</vt:i4>
      </vt:variant>
      <vt:variant>
        <vt:i4>254</vt:i4>
      </vt:variant>
      <vt:variant>
        <vt:i4>0</vt:i4>
      </vt:variant>
      <vt:variant>
        <vt:i4>5</vt:i4>
      </vt:variant>
      <vt:variant>
        <vt:lpwstr/>
      </vt:variant>
      <vt:variant>
        <vt:lpwstr>_Toc193708378</vt:lpwstr>
      </vt:variant>
      <vt:variant>
        <vt:i4>1441841</vt:i4>
      </vt:variant>
      <vt:variant>
        <vt:i4>248</vt:i4>
      </vt:variant>
      <vt:variant>
        <vt:i4>0</vt:i4>
      </vt:variant>
      <vt:variant>
        <vt:i4>5</vt:i4>
      </vt:variant>
      <vt:variant>
        <vt:lpwstr/>
      </vt:variant>
      <vt:variant>
        <vt:lpwstr>_Toc193708377</vt:lpwstr>
      </vt:variant>
      <vt:variant>
        <vt:i4>1441841</vt:i4>
      </vt:variant>
      <vt:variant>
        <vt:i4>242</vt:i4>
      </vt:variant>
      <vt:variant>
        <vt:i4>0</vt:i4>
      </vt:variant>
      <vt:variant>
        <vt:i4>5</vt:i4>
      </vt:variant>
      <vt:variant>
        <vt:lpwstr/>
      </vt:variant>
      <vt:variant>
        <vt:lpwstr>_Toc193708376</vt:lpwstr>
      </vt:variant>
      <vt:variant>
        <vt:i4>1441841</vt:i4>
      </vt:variant>
      <vt:variant>
        <vt:i4>236</vt:i4>
      </vt:variant>
      <vt:variant>
        <vt:i4>0</vt:i4>
      </vt:variant>
      <vt:variant>
        <vt:i4>5</vt:i4>
      </vt:variant>
      <vt:variant>
        <vt:lpwstr/>
      </vt:variant>
      <vt:variant>
        <vt:lpwstr>_Toc193708375</vt:lpwstr>
      </vt:variant>
      <vt:variant>
        <vt:i4>1441841</vt:i4>
      </vt:variant>
      <vt:variant>
        <vt:i4>230</vt:i4>
      </vt:variant>
      <vt:variant>
        <vt:i4>0</vt:i4>
      </vt:variant>
      <vt:variant>
        <vt:i4>5</vt:i4>
      </vt:variant>
      <vt:variant>
        <vt:lpwstr/>
      </vt:variant>
      <vt:variant>
        <vt:lpwstr>_Toc193708374</vt:lpwstr>
      </vt:variant>
      <vt:variant>
        <vt:i4>1441841</vt:i4>
      </vt:variant>
      <vt:variant>
        <vt:i4>224</vt:i4>
      </vt:variant>
      <vt:variant>
        <vt:i4>0</vt:i4>
      </vt:variant>
      <vt:variant>
        <vt:i4>5</vt:i4>
      </vt:variant>
      <vt:variant>
        <vt:lpwstr/>
      </vt:variant>
      <vt:variant>
        <vt:lpwstr>_Toc193708373</vt:lpwstr>
      </vt:variant>
      <vt:variant>
        <vt:i4>1441841</vt:i4>
      </vt:variant>
      <vt:variant>
        <vt:i4>218</vt:i4>
      </vt:variant>
      <vt:variant>
        <vt:i4>0</vt:i4>
      </vt:variant>
      <vt:variant>
        <vt:i4>5</vt:i4>
      </vt:variant>
      <vt:variant>
        <vt:lpwstr/>
      </vt:variant>
      <vt:variant>
        <vt:lpwstr>_Toc193708372</vt:lpwstr>
      </vt:variant>
      <vt:variant>
        <vt:i4>1441841</vt:i4>
      </vt:variant>
      <vt:variant>
        <vt:i4>212</vt:i4>
      </vt:variant>
      <vt:variant>
        <vt:i4>0</vt:i4>
      </vt:variant>
      <vt:variant>
        <vt:i4>5</vt:i4>
      </vt:variant>
      <vt:variant>
        <vt:lpwstr/>
      </vt:variant>
      <vt:variant>
        <vt:lpwstr>_Toc193708371</vt:lpwstr>
      </vt:variant>
      <vt:variant>
        <vt:i4>1441841</vt:i4>
      </vt:variant>
      <vt:variant>
        <vt:i4>206</vt:i4>
      </vt:variant>
      <vt:variant>
        <vt:i4>0</vt:i4>
      </vt:variant>
      <vt:variant>
        <vt:i4>5</vt:i4>
      </vt:variant>
      <vt:variant>
        <vt:lpwstr/>
      </vt:variant>
      <vt:variant>
        <vt:lpwstr>_Toc193708370</vt:lpwstr>
      </vt:variant>
      <vt:variant>
        <vt:i4>1507377</vt:i4>
      </vt:variant>
      <vt:variant>
        <vt:i4>200</vt:i4>
      </vt:variant>
      <vt:variant>
        <vt:i4>0</vt:i4>
      </vt:variant>
      <vt:variant>
        <vt:i4>5</vt:i4>
      </vt:variant>
      <vt:variant>
        <vt:lpwstr/>
      </vt:variant>
      <vt:variant>
        <vt:lpwstr>_Toc193708369</vt:lpwstr>
      </vt:variant>
      <vt:variant>
        <vt:i4>1507377</vt:i4>
      </vt:variant>
      <vt:variant>
        <vt:i4>194</vt:i4>
      </vt:variant>
      <vt:variant>
        <vt:i4>0</vt:i4>
      </vt:variant>
      <vt:variant>
        <vt:i4>5</vt:i4>
      </vt:variant>
      <vt:variant>
        <vt:lpwstr/>
      </vt:variant>
      <vt:variant>
        <vt:lpwstr>_Toc193708368</vt:lpwstr>
      </vt:variant>
      <vt:variant>
        <vt:i4>1507377</vt:i4>
      </vt:variant>
      <vt:variant>
        <vt:i4>188</vt:i4>
      </vt:variant>
      <vt:variant>
        <vt:i4>0</vt:i4>
      </vt:variant>
      <vt:variant>
        <vt:i4>5</vt:i4>
      </vt:variant>
      <vt:variant>
        <vt:lpwstr/>
      </vt:variant>
      <vt:variant>
        <vt:lpwstr>_Toc193708367</vt:lpwstr>
      </vt:variant>
      <vt:variant>
        <vt:i4>1507377</vt:i4>
      </vt:variant>
      <vt:variant>
        <vt:i4>182</vt:i4>
      </vt:variant>
      <vt:variant>
        <vt:i4>0</vt:i4>
      </vt:variant>
      <vt:variant>
        <vt:i4>5</vt:i4>
      </vt:variant>
      <vt:variant>
        <vt:lpwstr/>
      </vt:variant>
      <vt:variant>
        <vt:lpwstr>_Toc193708366</vt:lpwstr>
      </vt:variant>
      <vt:variant>
        <vt:i4>1507377</vt:i4>
      </vt:variant>
      <vt:variant>
        <vt:i4>176</vt:i4>
      </vt:variant>
      <vt:variant>
        <vt:i4>0</vt:i4>
      </vt:variant>
      <vt:variant>
        <vt:i4>5</vt:i4>
      </vt:variant>
      <vt:variant>
        <vt:lpwstr/>
      </vt:variant>
      <vt:variant>
        <vt:lpwstr>_Toc193708365</vt:lpwstr>
      </vt:variant>
      <vt:variant>
        <vt:i4>1507377</vt:i4>
      </vt:variant>
      <vt:variant>
        <vt:i4>170</vt:i4>
      </vt:variant>
      <vt:variant>
        <vt:i4>0</vt:i4>
      </vt:variant>
      <vt:variant>
        <vt:i4>5</vt:i4>
      </vt:variant>
      <vt:variant>
        <vt:lpwstr/>
      </vt:variant>
      <vt:variant>
        <vt:lpwstr>_Toc193708364</vt:lpwstr>
      </vt:variant>
      <vt:variant>
        <vt:i4>1507377</vt:i4>
      </vt:variant>
      <vt:variant>
        <vt:i4>164</vt:i4>
      </vt:variant>
      <vt:variant>
        <vt:i4>0</vt:i4>
      </vt:variant>
      <vt:variant>
        <vt:i4>5</vt:i4>
      </vt:variant>
      <vt:variant>
        <vt:lpwstr/>
      </vt:variant>
      <vt:variant>
        <vt:lpwstr>_Toc193708363</vt:lpwstr>
      </vt:variant>
      <vt:variant>
        <vt:i4>1507377</vt:i4>
      </vt:variant>
      <vt:variant>
        <vt:i4>158</vt:i4>
      </vt:variant>
      <vt:variant>
        <vt:i4>0</vt:i4>
      </vt:variant>
      <vt:variant>
        <vt:i4>5</vt:i4>
      </vt:variant>
      <vt:variant>
        <vt:lpwstr/>
      </vt:variant>
      <vt:variant>
        <vt:lpwstr>_Toc193708362</vt:lpwstr>
      </vt:variant>
      <vt:variant>
        <vt:i4>1507377</vt:i4>
      </vt:variant>
      <vt:variant>
        <vt:i4>152</vt:i4>
      </vt:variant>
      <vt:variant>
        <vt:i4>0</vt:i4>
      </vt:variant>
      <vt:variant>
        <vt:i4>5</vt:i4>
      </vt:variant>
      <vt:variant>
        <vt:lpwstr/>
      </vt:variant>
      <vt:variant>
        <vt:lpwstr>_Toc193708361</vt:lpwstr>
      </vt:variant>
      <vt:variant>
        <vt:i4>1507377</vt:i4>
      </vt:variant>
      <vt:variant>
        <vt:i4>146</vt:i4>
      </vt:variant>
      <vt:variant>
        <vt:i4>0</vt:i4>
      </vt:variant>
      <vt:variant>
        <vt:i4>5</vt:i4>
      </vt:variant>
      <vt:variant>
        <vt:lpwstr/>
      </vt:variant>
      <vt:variant>
        <vt:lpwstr>_Toc193708360</vt:lpwstr>
      </vt:variant>
      <vt:variant>
        <vt:i4>1310769</vt:i4>
      </vt:variant>
      <vt:variant>
        <vt:i4>140</vt:i4>
      </vt:variant>
      <vt:variant>
        <vt:i4>0</vt:i4>
      </vt:variant>
      <vt:variant>
        <vt:i4>5</vt:i4>
      </vt:variant>
      <vt:variant>
        <vt:lpwstr/>
      </vt:variant>
      <vt:variant>
        <vt:lpwstr>_Toc193708359</vt:lpwstr>
      </vt:variant>
      <vt:variant>
        <vt:i4>1310769</vt:i4>
      </vt:variant>
      <vt:variant>
        <vt:i4>134</vt:i4>
      </vt:variant>
      <vt:variant>
        <vt:i4>0</vt:i4>
      </vt:variant>
      <vt:variant>
        <vt:i4>5</vt:i4>
      </vt:variant>
      <vt:variant>
        <vt:lpwstr/>
      </vt:variant>
      <vt:variant>
        <vt:lpwstr>_Toc193708358</vt:lpwstr>
      </vt:variant>
      <vt:variant>
        <vt:i4>1310769</vt:i4>
      </vt:variant>
      <vt:variant>
        <vt:i4>128</vt:i4>
      </vt:variant>
      <vt:variant>
        <vt:i4>0</vt:i4>
      </vt:variant>
      <vt:variant>
        <vt:i4>5</vt:i4>
      </vt:variant>
      <vt:variant>
        <vt:lpwstr/>
      </vt:variant>
      <vt:variant>
        <vt:lpwstr>_Toc193708357</vt:lpwstr>
      </vt:variant>
      <vt:variant>
        <vt:i4>1310769</vt:i4>
      </vt:variant>
      <vt:variant>
        <vt:i4>122</vt:i4>
      </vt:variant>
      <vt:variant>
        <vt:i4>0</vt:i4>
      </vt:variant>
      <vt:variant>
        <vt:i4>5</vt:i4>
      </vt:variant>
      <vt:variant>
        <vt:lpwstr/>
      </vt:variant>
      <vt:variant>
        <vt:lpwstr>_Toc193708356</vt:lpwstr>
      </vt:variant>
      <vt:variant>
        <vt:i4>1310769</vt:i4>
      </vt:variant>
      <vt:variant>
        <vt:i4>116</vt:i4>
      </vt:variant>
      <vt:variant>
        <vt:i4>0</vt:i4>
      </vt:variant>
      <vt:variant>
        <vt:i4>5</vt:i4>
      </vt:variant>
      <vt:variant>
        <vt:lpwstr/>
      </vt:variant>
      <vt:variant>
        <vt:lpwstr>_Toc193708355</vt:lpwstr>
      </vt:variant>
      <vt:variant>
        <vt:i4>1310769</vt:i4>
      </vt:variant>
      <vt:variant>
        <vt:i4>110</vt:i4>
      </vt:variant>
      <vt:variant>
        <vt:i4>0</vt:i4>
      </vt:variant>
      <vt:variant>
        <vt:i4>5</vt:i4>
      </vt:variant>
      <vt:variant>
        <vt:lpwstr/>
      </vt:variant>
      <vt:variant>
        <vt:lpwstr>_Toc193708354</vt:lpwstr>
      </vt:variant>
      <vt:variant>
        <vt:i4>1310769</vt:i4>
      </vt:variant>
      <vt:variant>
        <vt:i4>104</vt:i4>
      </vt:variant>
      <vt:variant>
        <vt:i4>0</vt:i4>
      </vt:variant>
      <vt:variant>
        <vt:i4>5</vt:i4>
      </vt:variant>
      <vt:variant>
        <vt:lpwstr/>
      </vt:variant>
      <vt:variant>
        <vt:lpwstr>_Toc193708353</vt:lpwstr>
      </vt:variant>
      <vt:variant>
        <vt:i4>1310769</vt:i4>
      </vt:variant>
      <vt:variant>
        <vt:i4>98</vt:i4>
      </vt:variant>
      <vt:variant>
        <vt:i4>0</vt:i4>
      </vt:variant>
      <vt:variant>
        <vt:i4>5</vt:i4>
      </vt:variant>
      <vt:variant>
        <vt:lpwstr/>
      </vt:variant>
      <vt:variant>
        <vt:lpwstr>_Toc193708352</vt:lpwstr>
      </vt:variant>
      <vt:variant>
        <vt:i4>1310769</vt:i4>
      </vt:variant>
      <vt:variant>
        <vt:i4>92</vt:i4>
      </vt:variant>
      <vt:variant>
        <vt:i4>0</vt:i4>
      </vt:variant>
      <vt:variant>
        <vt:i4>5</vt:i4>
      </vt:variant>
      <vt:variant>
        <vt:lpwstr/>
      </vt:variant>
      <vt:variant>
        <vt:lpwstr>_Toc193708351</vt:lpwstr>
      </vt:variant>
      <vt:variant>
        <vt:i4>1310769</vt:i4>
      </vt:variant>
      <vt:variant>
        <vt:i4>86</vt:i4>
      </vt:variant>
      <vt:variant>
        <vt:i4>0</vt:i4>
      </vt:variant>
      <vt:variant>
        <vt:i4>5</vt:i4>
      </vt:variant>
      <vt:variant>
        <vt:lpwstr/>
      </vt:variant>
      <vt:variant>
        <vt:lpwstr>_Toc193708350</vt:lpwstr>
      </vt:variant>
      <vt:variant>
        <vt:i4>1376305</vt:i4>
      </vt:variant>
      <vt:variant>
        <vt:i4>80</vt:i4>
      </vt:variant>
      <vt:variant>
        <vt:i4>0</vt:i4>
      </vt:variant>
      <vt:variant>
        <vt:i4>5</vt:i4>
      </vt:variant>
      <vt:variant>
        <vt:lpwstr/>
      </vt:variant>
      <vt:variant>
        <vt:lpwstr>_Toc193708349</vt:lpwstr>
      </vt:variant>
      <vt:variant>
        <vt:i4>1376305</vt:i4>
      </vt:variant>
      <vt:variant>
        <vt:i4>74</vt:i4>
      </vt:variant>
      <vt:variant>
        <vt:i4>0</vt:i4>
      </vt:variant>
      <vt:variant>
        <vt:i4>5</vt:i4>
      </vt:variant>
      <vt:variant>
        <vt:lpwstr/>
      </vt:variant>
      <vt:variant>
        <vt:lpwstr>_Toc193708348</vt:lpwstr>
      </vt:variant>
      <vt:variant>
        <vt:i4>1376305</vt:i4>
      </vt:variant>
      <vt:variant>
        <vt:i4>68</vt:i4>
      </vt:variant>
      <vt:variant>
        <vt:i4>0</vt:i4>
      </vt:variant>
      <vt:variant>
        <vt:i4>5</vt:i4>
      </vt:variant>
      <vt:variant>
        <vt:lpwstr/>
      </vt:variant>
      <vt:variant>
        <vt:lpwstr>_Toc193708347</vt:lpwstr>
      </vt:variant>
      <vt:variant>
        <vt:i4>1376305</vt:i4>
      </vt:variant>
      <vt:variant>
        <vt:i4>62</vt:i4>
      </vt:variant>
      <vt:variant>
        <vt:i4>0</vt:i4>
      </vt:variant>
      <vt:variant>
        <vt:i4>5</vt:i4>
      </vt:variant>
      <vt:variant>
        <vt:lpwstr/>
      </vt:variant>
      <vt:variant>
        <vt:lpwstr>_Toc193708346</vt:lpwstr>
      </vt:variant>
      <vt:variant>
        <vt:i4>1376305</vt:i4>
      </vt:variant>
      <vt:variant>
        <vt:i4>56</vt:i4>
      </vt:variant>
      <vt:variant>
        <vt:i4>0</vt:i4>
      </vt:variant>
      <vt:variant>
        <vt:i4>5</vt:i4>
      </vt:variant>
      <vt:variant>
        <vt:lpwstr/>
      </vt:variant>
      <vt:variant>
        <vt:lpwstr>_Toc193708345</vt:lpwstr>
      </vt:variant>
      <vt:variant>
        <vt:i4>1376305</vt:i4>
      </vt:variant>
      <vt:variant>
        <vt:i4>50</vt:i4>
      </vt:variant>
      <vt:variant>
        <vt:i4>0</vt:i4>
      </vt:variant>
      <vt:variant>
        <vt:i4>5</vt:i4>
      </vt:variant>
      <vt:variant>
        <vt:lpwstr/>
      </vt:variant>
      <vt:variant>
        <vt:lpwstr>_Toc193708344</vt:lpwstr>
      </vt:variant>
      <vt:variant>
        <vt:i4>1376305</vt:i4>
      </vt:variant>
      <vt:variant>
        <vt:i4>44</vt:i4>
      </vt:variant>
      <vt:variant>
        <vt:i4>0</vt:i4>
      </vt:variant>
      <vt:variant>
        <vt:i4>5</vt:i4>
      </vt:variant>
      <vt:variant>
        <vt:lpwstr/>
      </vt:variant>
      <vt:variant>
        <vt:lpwstr>_Toc193708343</vt:lpwstr>
      </vt:variant>
      <vt:variant>
        <vt:i4>1376305</vt:i4>
      </vt:variant>
      <vt:variant>
        <vt:i4>38</vt:i4>
      </vt:variant>
      <vt:variant>
        <vt:i4>0</vt:i4>
      </vt:variant>
      <vt:variant>
        <vt:i4>5</vt:i4>
      </vt:variant>
      <vt:variant>
        <vt:lpwstr/>
      </vt:variant>
      <vt:variant>
        <vt:lpwstr>_Toc193708342</vt:lpwstr>
      </vt:variant>
      <vt:variant>
        <vt:i4>1376305</vt:i4>
      </vt:variant>
      <vt:variant>
        <vt:i4>32</vt:i4>
      </vt:variant>
      <vt:variant>
        <vt:i4>0</vt:i4>
      </vt:variant>
      <vt:variant>
        <vt:i4>5</vt:i4>
      </vt:variant>
      <vt:variant>
        <vt:lpwstr/>
      </vt:variant>
      <vt:variant>
        <vt:lpwstr>_Toc193708341</vt:lpwstr>
      </vt:variant>
      <vt:variant>
        <vt:i4>1376305</vt:i4>
      </vt:variant>
      <vt:variant>
        <vt:i4>26</vt:i4>
      </vt:variant>
      <vt:variant>
        <vt:i4>0</vt:i4>
      </vt:variant>
      <vt:variant>
        <vt:i4>5</vt:i4>
      </vt:variant>
      <vt:variant>
        <vt:lpwstr/>
      </vt:variant>
      <vt:variant>
        <vt:lpwstr>_Toc193708340</vt:lpwstr>
      </vt:variant>
      <vt:variant>
        <vt:i4>1179697</vt:i4>
      </vt:variant>
      <vt:variant>
        <vt:i4>20</vt:i4>
      </vt:variant>
      <vt:variant>
        <vt:i4>0</vt:i4>
      </vt:variant>
      <vt:variant>
        <vt:i4>5</vt:i4>
      </vt:variant>
      <vt:variant>
        <vt:lpwstr/>
      </vt:variant>
      <vt:variant>
        <vt:lpwstr>_Toc193708339</vt:lpwstr>
      </vt:variant>
      <vt:variant>
        <vt:i4>1179697</vt:i4>
      </vt:variant>
      <vt:variant>
        <vt:i4>14</vt:i4>
      </vt:variant>
      <vt:variant>
        <vt:i4>0</vt:i4>
      </vt:variant>
      <vt:variant>
        <vt:i4>5</vt:i4>
      </vt:variant>
      <vt:variant>
        <vt:lpwstr/>
      </vt:variant>
      <vt:variant>
        <vt:lpwstr>_Toc193708338</vt:lpwstr>
      </vt:variant>
      <vt:variant>
        <vt:i4>1179697</vt:i4>
      </vt:variant>
      <vt:variant>
        <vt:i4>8</vt:i4>
      </vt:variant>
      <vt:variant>
        <vt:i4>0</vt:i4>
      </vt:variant>
      <vt:variant>
        <vt:i4>5</vt:i4>
      </vt:variant>
      <vt:variant>
        <vt:lpwstr/>
      </vt:variant>
      <vt:variant>
        <vt:lpwstr>_Toc193708337</vt:lpwstr>
      </vt:variant>
      <vt:variant>
        <vt:i4>1179697</vt:i4>
      </vt:variant>
      <vt:variant>
        <vt:i4>2</vt:i4>
      </vt:variant>
      <vt:variant>
        <vt:i4>0</vt:i4>
      </vt:variant>
      <vt:variant>
        <vt:i4>5</vt:i4>
      </vt:variant>
      <vt:variant>
        <vt:lpwstr/>
      </vt:variant>
      <vt:variant>
        <vt:lpwstr>_Toc193708336</vt:lpwstr>
      </vt:variant>
      <vt:variant>
        <vt:i4>4128867</vt:i4>
      </vt:variant>
      <vt:variant>
        <vt:i4>0</vt:i4>
      </vt:variant>
      <vt:variant>
        <vt:i4>0</vt:i4>
      </vt:variant>
      <vt:variant>
        <vt:i4>5</vt:i4>
      </vt:variant>
      <vt:variant>
        <vt:lpwstr>https://www.gov.uk/government/publications/calculating-dry-weather-flow-dwf-at-waste-water-treatment-works/calculating-dry-weather-flow-dwf-at-waste-water-treatment-works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2025-06-05T12:51:00Z</dcterms:created>
  <dcterms:modified xsi:type="dcterms:W3CDTF">2025-06-05T12:51:00Z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